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0F10C" w14:textId="5E9C7AA8" w:rsidR="00C269A1" w:rsidRPr="000F0716" w:rsidRDefault="00C269A1" w:rsidP="00C269A1">
      <w:pPr>
        <w:pStyle w:val="CRCoverPage"/>
        <w:tabs>
          <w:tab w:val="right" w:pos="9639"/>
        </w:tabs>
        <w:spacing w:before="120" w:after="0"/>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 WG2 Meeting</w:t>
      </w:r>
      <w:bookmarkEnd w:id="0"/>
      <w:bookmarkEnd w:id="1"/>
      <w:r>
        <w:rPr>
          <w:rFonts w:cs="SimHei"/>
          <w:b/>
          <w:sz w:val="24"/>
          <w:szCs w:val="24"/>
        </w:rPr>
        <w:t xml:space="preserve"> </w:t>
      </w:r>
      <w:r w:rsidRPr="00E94B97">
        <w:rPr>
          <w:rFonts w:cs="SimHei"/>
          <w:b/>
          <w:sz w:val="24"/>
          <w:szCs w:val="24"/>
        </w:rPr>
        <w:t>#</w:t>
      </w:r>
      <w:r>
        <w:rPr>
          <w:rFonts w:cs="SimHei"/>
          <w:b/>
          <w:sz w:val="24"/>
          <w:szCs w:val="24"/>
        </w:rPr>
        <w:t>121</w:t>
      </w:r>
      <w:r>
        <w:rPr>
          <w:b/>
          <w:noProof/>
          <w:sz w:val="24"/>
        </w:rPr>
        <w:t xml:space="preserve">          </w:t>
      </w:r>
      <w:r>
        <w:rPr>
          <w:b/>
          <w:noProof/>
          <w:sz w:val="24"/>
        </w:rPr>
        <w:tab/>
        <w:t xml:space="preserve">          </w:t>
      </w:r>
      <w:r w:rsidR="007838F4" w:rsidRPr="007838F4">
        <w:rPr>
          <w:rFonts w:eastAsia="Malgun Gothic"/>
          <w:b/>
          <w:bCs/>
          <w:sz w:val="24"/>
          <w:szCs w:val="24"/>
          <w:lang w:eastAsia="zh-CN"/>
        </w:rPr>
        <w:t>R2-2301489</w:t>
      </w:r>
      <w:bookmarkStart w:id="2" w:name="_GoBack"/>
      <w:bookmarkEnd w:id="2"/>
    </w:p>
    <w:p w14:paraId="55BC4B2D" w14:textId="77777777" w:rsidR="00C269A1" w:rsidRDefault="00C269A1" w:rsidP="00C269A1">
      <w:pPr>
        <w:overflowPunct w:val="0"/>
        <w:autoSpaceDE w:val="0"/>
        <w:autoSpaceDN w:val="0"/>
        <w:adjustRightInd w:val="0"/>
        <w:spacing w:line="300" w:lineRule="auto"/>
        <w:jc w:val="left"/>
        <w:textAlignment w:val="baseline"/>
        <w:rPr>
          <w:rFonts w:ascii="Arial" w:eastAsia="Times New Roman" w:hAnsi="Arial"/>
          <w:b/>
          <w:bCs/>
          <w:sz w:val="24"/>
          <w:szCs w:val="20"/>
        </w:rPr>
      </w:pPr>
      <w:r w:rsidRPr="00A9710E">
        <w:rPr>
          <w:rFonts w:ascii="Arial" w:eastAsia="SimSun" w:hAnsi="Arial" w:cs="Arial"/>
          <w:b/>
          <w:sz w:val="24"/>
          <w:szCs w:val="20"/>
          <w:lang w:val="de-DE"/>
        </w:rPr>
        <w:t>Athens, Greece, Feb. 27th –Mar. 3rd, 2023</w:t>
      </w:r>
    </w:p>
    <w:p w14:paraId="76645E64" w14:textId="77777777" w:rsidR="00C269A1" w:rsidRDefault="00C269A1" w:rsidP="00C269A1">
      <w:pPr>
        <w:tabs>
          <w:tab w:val="left" w:pos="1620"/>
        </w:tabs>
        <w:spacing w:after="180" w:line="300" w:lineRule="auto"/>
        <w:ind w:left="1985" w:hanging="1985"/>
        <w:jc w:val="left"/>
        <w:rPr>
          <w:rFonts w:ascii="Arial" w:eastAsia="Arial Unicode MS" w:hAnsi="Arial" w:cs="Arial"/>
          <w:b/>
          <w:bCs/>
          <w:sz w:val="24"/>
          <w:szCs w:val="20"/>
        </w:rPr>
      </w:pPr>
    </w:p>
    <w:p w14:paraId="6AD6A2F9" w14:textId="3675FBF0" w:rsidR="00C269A1" w:rsidRDefault="00C269A1" w:rsidP="00C269A1">
      <w:pPr>
        <w:tabs>
          <w:tab w:val="left" w:pos="1620"/>
        </w:tabs>
        <w:spacing w:after="180" w:line="300" w:lineRule="auto"/>
        <w:ind w:left="1985" w:hanging="1985"/>
        <w:jc w:val="left"/>
        <w:rPr>
          <w:rFonts w:ascii="Arial" w:eastAsia="Arial Unicode MS" w:hAnsi="Arial" w:cs="Arial"/>
          <w:b/>
          <w:bCs/>
          <w:sz w:val="24"/>
          <w:szCs w:val="20"/>
        </w:rPr>
      </w:pPr>
      <w:r>
        <w:rPr>
          <w:rFonts w:ascii="Arial" w:eastAsia="Arial Unicode MS" w:hAnsi="Arial" w:cs="Arial"/>
          <w:b/>
          <w:bCs/>
          <w:sz w:val="24"/>
          <w:szCs w:val="20"/>
        </w:rPr>
        <w:t>Title:</w:t>
      </w:r>
      <w:r>
        <w:rPr>
          <w:rFonts w:ascii="Arial" w:eastAsia="Arial Unicode MS" w:hAnsi="Arial" w:cs="Arial"/>
          <w:b/>
          <w:bCs/>
          <w:sz w:val="24"/>
          <w:szCs w:val="20"/>
        </w:rPr>
        <w:tab/>
      </w:r>
      <w:r>
        <w:rPr>
          <w:rFonts w:ascii="Arial" w:eastAsia="Arial Unicode MS" w:hAnsi="Arial" w:cs="Arial"/>
          <w:b/>
          <w:bCs/>
          <w:sz w:val="24"/>
          <w:szCs w:val="20"/>
        </w:rPr>
        <w:tab/>
      </w:r>
      <w:r w:rsidR="000F7CE1" w:rsidRPr="000F7CE1">
        <w:rPr>
          <w:rFonts w:ascii="Arial" w:eastAsia="Arial Unicode MS" w:hAnsi="Arial" w:cs="Arial"/>
          <w:b/>
          <w:bCs/>
          <w:sz w:val="24"/>
          <w:szCs w:val="20"/>
        </w:rPr>
        <w:t>Discussion on UE capability for IDC enhancement</w:t>
      </w:r>
    </w:p>
    <w:p w14:paraId="47371A8D" w14:textId="77777777" w:rsidR="00C269A1" w:rsidRDefault="00C269A1" w:rsidP="00C269A1">
      <w:pPr>
        <w:tabs>
          <w:tab w:val="left" w:pos="1985"/>
        </w:tabs>
        <w:spacing w:after="180" w:line="300" w:lineRule="auto"/>
        <w:ind w:left="240" w:hangingChars="100" w:hanging="240"/>
        <w:jc w:val="left"/>
        <w:rPr>
          <w:rFonts w:ascii="Arial" w:eastAsia="Times New Roman" w:hAnsi="Arial" w:cs="Arial"/>
          <w:b/>
          <w:bCs/>
          <w:sz w:val="24"/>
          <w:szCs w:val="20"/>
        </w:rPr>
      </w:pPr>
      <w:r>
        <w:rPr>
          <w:rFonts w:ascii="Arial" w:eastAsia="Times New Roman" w:hAnsi="Arial" w:cs="Arial"/>
          <w:b/>
          <w:bCs/>
          <w:sz w:val="24"/>
          <w:szCs w:val="20"/>
        </w:rPr>
        <w:t>Source:</w:t>
      </w:r>
      <w:r>
        <w:rPr>
          <w:rFonts w:ascii="Arial" w:eastAsia="Times New Roman" w:hAnsi="Arial" w:cs="Arial"/>
          <w:b/>
          <w:bCs/>
          <w:sz w:val="24"/>
          <w:szCs w:val="20"/>
        </w:rPr>
        <w:tab/>
      </w:r>
      <w:r>
        <w:rPr>
          <w:rFonts w:ascii="Arial" w:eastAsia="SimSun" w:hAnsi="Arial" w:cs="Arial"/>
          <w:b/>
          <w:sz w:val="24"/>
          <w:szCs w:val="20"/>
        </w:rPr>
        <w:t>Huawei, HiSilicon</w:t>
      </w:r>
    </w:p>
    <w:p w14:paraId="280262E0" w14:textId="515E1426" w:rsidR="00C269A1" w:rsidRDefault="00C269A1" w:rsidP="00C269A1">
      <w:pPr>
        <w:tabs>
          <w:tab w:val="left" w:pos="1985"/>
        </w:tabs>
        <w:spacing w:line="300" w:lineRule="auto"/>
        <w:jc w:val="left"/>
        <w:rPr>
          <w:rFonts w:ascii="Arial" w:eastAsia="MS Mincho"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sidR="0066075D" w:rsidRPr="0066075D">
        <w:rPr>
          <w:rFonts w:ascii="Arial" w:eastAsia="MS Mincho" w:hAnsi="Arial" w:cs="Arial"/>
          <w:b/>
          <w:bCs/>
          <w:sz w:val="24"/>
          <w:szCs w:val="20"/>
        </w:rPr>
        <w:t>8.10.4</w:t>
      </w:r>
    </w:p>
    <w:p w14:paraId="41B4F9BD" w14:textId="697154F8" w:rsidR="00700715" w:rsidRPr="0099619E" w:rsidRDefault="00C269A1" w:rsidP="000F7CE1">
      <w:pPr>
        <w:tabs>
          <w:tab w:val="left" w:pos="1985"/>
        </w:tabs>
        <w:spacing w:after="180" w:line="300" w:lineRule="auto"/>
        <w:jc w:val="left"/>
        <w:rPr>
          <w:rFonts w:ascii="Arial" w:hAnsi="Arial" w:cs="Arial"/>
          <w:snapToGrid w:val="0"/>
          <w:kern w:val="2"/>
          <w:sz w:val="24"/>
          <w:lang w:val="en-US" w:eastAsia="ko-KR"/>
        </w:rPr>
      </w:pPr>
      <w:bookmarkStart w:id="3" w:name="_Hlk506366071"/>
      <w:r>
        <w:rPr>
          <w:rFonts w:ascii="Arial" w:eastAsia="Times New Roman" w:hAnsi="Arial" w:cs="Arial"/>
          <w:b/>
          <w:bCs/>
          <w:sz w:val="24"/>
          <w:szCs w:val="20"/>
        </w:rPr>
        <w:t>Document for:</w:t>
      </w:r>
      <w:r>
        <w:rPr>
          <w:rFonts w:ascii="Arial" w:eastAsia="Times New Roman" w:hAnsi="Arial" w:cs="Arial"/>
          <w:b/>
          <w:bCs/>
          <w:sz w:val="24"/>
          <w:szCs w:val="20"/>
        </w:rPr>
        <w:tab/>
        <w:t>Discussion and Decision</w:t>
      </w:r>
      <w:bookmarkEnd w:id="3"/>
    </w:p>
    <w:p w14:paraId="50598651" w14:textId="77777777" w:rsidR="00C269A1" w:rsidRDefault="00C269A1" w:rsidP="00C269A1">
      <w:pPr>
        <w:pStyle w:val="Heading1"/>
        <w:keepLines/>
        <w:numPr>
          <w:ilvl w:val="0"/>
          <w:numId w:val="32"/>
        </w:numPr>
        <w:pBdr>
          <w:top w:val="single" w:sz="12" w:space="3" w:color="auto"/>
        </w:pBdr>
        <w:overflowPunct w:val="0"/>
        <w:autoSpaceDE w:val="0"/>
        <w:autoSpaceDN w:val="0"/>
        <w:adjustRightInd w:val="0"/>
        <w:spacing w:after="180"/>
        <w:jc w:val="left"/>
        <w:textAlignment w:val="baseline"/>
      </w:pPr>
      <w:r>
        <w:rPr>
          <w:lang w:eastAsia="zh-CN"/>
        </w:rPr>
        <w:t>Introduction</w:t>
      </w:r>
    </w:p>
    <w:p w14:paraId="75F5188C" w14:textId="77777777" w:rsidR="00C269A1" w:rsidRDefault="00C269A1" w:rsidP="00C269A1">
      <w:r w:rsidRPr="00C0077C">
        <w:t xml:space="preserve">In </w:t>
      </w:r>
      <w:r>
        <w:t xml:space="preserve">RAN#94e, the new work item for </w:t>
      </w:r>
      <w:r w:rsidRPr="00E8242F">
        <w:t xml:space="preserve">In-Device Co-existence (IDC) enhancements for NR and MR-DC </w:t>
      </w:r>
      <w:r>
        <w:t>was approved [1]. In the WID, the following objective was agreed:</w:t>
      </w:r>
    </w:p>
    <w:p w14:paraId="56BBAEB7" w14:textId="77777777" w:rsidR="00C269A1" w:rsidRDefault="00C269A1" w:rsidP="00C269A1"/>
    <w:tbl>
      <w:tblPr>
        <w:tblStyle w:val="TableGrid"/>
        <w:tblW w:w="0" w:type="auto"/>
        <w:tblLook w:val="04A0" w:firstRow="1" w:lastRow="0" w:firstColumn="1" w:lastColumn="0" w:noHBand="0" w:noVBand="1"/>
      </w:tblPr>
      <w:tblGrid>
        <w:gridCol w:w="9628"/>
      </w:tblGrid>
      <w:tr w:rsidR="00C269A1" w14:paraId="56605581" w14:textId="77777777" w:rsidTr="008344D8">
        <w:tc>
          <w:tcPr>
            <w:tcW w:w="9628" w:type="dxa"/>
          </w:tcPr>
          <w:p w14:paraId="792A860F" w14:textId="77777777" w:rsidR="00C269A1" w:rsidRPr="00CD6619" w:rsidRDefault="00C269A1" w:rsidP="008344D8">
            <w:r w:rsidRPr="00CD6619">
              <w:t xml:space="preserve">This WI expects to address </w:t>
            </w:r>
            <w:r>
              <w:t>i</w:t>
            </w:r>
            <w:r w:rsidRPr="00CD6619">
              <w:t xml:space="preserve">nterference between 3GPP (including various MR-DC architectures, i.e. NR-DC and EN-DC) and </w:t>
            </w:r>
            <w:r>
              <w:t>non-3GPP</w:t>
            </w:r>
            <w:r w:rsidRPr="00CD6619">
              <w:t xml:space="preserve"> RAT (e.g. WiFi).</w:t>
            </w:r>
          </w:p>
          <w:p w14:paraId="6F65D6A5" w14:textId="77777777" w:rsidR="00C269A1" w:rsidRPr="005F6588" w:rsidRDefault="00C269A1" w:rsidP="00C269A1">
            <w:pPr>
              <w:pStyle w:val="ListParagraph"/>
              <w:numPr>
                <w:ilvl w:val="0"/>
                <w:numId w:val="33"/>
              </w:numPr>
              <w:overflowPunct w:val="0"/>
              <w:autoSpaceDE w:val="0"/>
              <w:autoSpaceDN w:val="0"/>
              <w:adjustRightInd w:val="0"/>
              <w:spacing w:after="180" w:line="240" w:lineRule="auto"/>
              <w:jc w:val="left"/>
              <w:textAlignment w:val="baseline"/>
            </w:pPr>
            <w:r w:rsidRPr="005F6588">
              <w:t>Enhancements to FDM solution, to allow more granular indication of affected frequencies (e.g. granularity of BWP or PRB level). (RAN2)</w:t>
            </w:r>
          </w:p>
          <w:p w14:paraId="30E8790B" w14:textId="77777777" w:rsidR="00C269A1" w:rsidRPr="00CD6619" w:rsidRDefault="00C269A1" w:rsidP="008344D8">
            <w:pPr>
              <w:pStyle w:val="ListParagraph"/>
              <w:ind w:left="1560"/>
            </w:pPr>
            <w:r w:rsidRPr="005F6588">
              <w:t>Note: Enhancements to FDM solution is prioritized.</w:t>
            </w:r>
          </w:p>
          <w:p w14:paraId="617873A2" w14:textId="77777777" w:rsidR="00C269A1" w:rsidRPr="00C269A1" w:rsidRDefault="00C269A1" w:rsidP="00C269A1">
            <w:pPr>
              <w:pStyle w:val="ListParagraph"/>
              <w:numPr>
                <w:ilvl w:val="0"/>
                <w:numId w:val="33"/>
              </w:numPr>
              <w:overflowPunct w:val="0"/>
              <w:autoSpaceDE w:val="0"/>
              <w:autoSpaceDN w:val="0"/>
              <w:adjustRightInd w:val="0"/>
              <w:spacing w:after="180" w:line="240" w:lineRule="auto"/>
              <w:jc w:val="left"/>
              <w:textAlignment w:val="baseline"/>
            </w:pPr>
            <w:r w:rsidRPr="00C269A1">
              <w:t>Introduction of TDM solution (e.g. indication of UE preferred TDM pattern for UL/DL). (RAN2, RAN4).</w:t>
            </w:r>
            <w:r w:rsidRPr="00C269A1">
              <w:br/>
              <w:t>Note: The TDM solution is considered complementary to the FDM solution.</w:t>
            </w:r>
          </w:p>
          <w:p w14:paraId="64F9097B" w14:textId="77777777" w:rsidR="00C269A1" w:rsidRDefault="00C269A1" w:rsidP="00C269A1">
            <w:pPr>
              <w:pStyle w:val="ListParagraph"/>
              <w:numPr>
                <w:ilvl w:val="0"/>
                <w:numId w:val="33"/>
              </w:numPr>
              <w:overflowPunct w:val="0"/>
              <w:autoSpaceDE w:val="0"/>
              <w:autoSpaceDN w:val="0"/>
              <w:adjustRightInd w:val="0"/>
              <w:spacing w:after="180" w:line="240" w:lineRule="auto"/>
              <w:jc w:val="left"/>
              <w:textAlignment w:val="baseline"/>
            </w:pPr>
            <w:r>
              <w:t>Specify RRM requirements for TDM solution (RAN4)</w:t>
            </w:r>
          </w:p>
          <w:p w14:paraId="40EDA8A6" w14:textId="77777777" w:rsidR="00C269A1" w:rsidRPr="00CD6619" w:rsidRDefault="00C269A1" w:rsidP="008344D8">
            <w:r w:rsidRPr="00CD6619">
              <w:t>Note: LTE</w:t>
            </w:r>
            <w:r>
              <w:t xml:space="preserve"> IDC solution</w:t>
            </w:r>
            <w:r w:rsidRPr="00CD6619">
              <w:t xml:space="preserve"> should be considered a</w:t>
            </w:r>
            <w:r>
              <w:t>s the</w:t>
            </w:r>
            <w:r w:rsidRPr="00CD6619">
              <w:t xml:space="preserve"> baseline for the solutions developed in this WI.</w:t>
            </w:r>
          </w:p>
          <w:p w14:paraId="786BB088" w14:textId="77777777" w:rsidR="00C269A1" w:rsidRPr="00617C12" w:rsidRDefault="00C269A1" w:rsidP="008344D8">
            <w:pPr>
              <w:overflowPunct w:val="0"/>
              <w:autoSpaceDE w:val="0"/>
              <w:autoSpaceDN w:val="0"/>
              <w:adjustRightInd w:val="0"/>
              <w:ind w:left="2160"/>
              <w:jc w:val="left"/>
              <w:textAlignment w:val="baseline"/>
            </w:pPr>
          </w:p>
        </w:tc>
      </w:tr>
    </w:tbl>
    <w:p w14:paraId="5B80B436" w14:textId="77777777" w:rsidR="00C269A1" w:rsidRDefault="00C269A1" w:rsidP="00C269A1"/>
    <w:p w14:paraId="04555479" w14:textId="77777777" w:rsidR="007B5FBF" w:rsidRDefault="00204067" w:rsidP="00C269A1">
      <w:r>
        <w:t>In the previous meeting, the solutions including FDM enhancement, TDM solution and autonomous denial were agreed to be supported in Rel-18 for IDC</w:t>
      </w:r>
      <w:r w:rsidR="007B5FBF">
        <w:t xml:space="preserve">. </w:t>
      </w:r>
    </w:p>
    <w:p w14:paraId="6CCD033A" w14:textId="7909B443" w:rsidR="00C269A1" w:rsidRDefault="00C269A1" w:rsidP="00C269A1">
      <w:r>
        <w:t xml:space="preserve">In this contribution, we discuss </w:t>
      </w:r>
      <w:r w:rsidR="008344D8">
        <w:t>about</w:t>
      </w:r>
      <w:r>
        <w:t xml:space="preserve"> </w:t>
      </w:r>
      <w:r w:rsidR="000F7CE1">
        <w:t>the</w:t>
      </w:r>
      <w:r w:rsidR="000F7CE1" w:rsidRPr="000F7CE1">
        <w:t xml:space="preserve"> UE capability </w:t>
      </w:r>
      <w:r w:rsidR="000F7CE1">
        <w:t xml:space="preserve">required </w:t>
      </w:r>
      <w:r w:rsidR="000F7CE1" w:rsidRPr="000F7CE1">
        <w:t>for IDC enhancement</w:t>
      </w:r>
      <w:r w:rsidR="000F7CE1">
        <w:t xml:space="preserve"> in Rel 18.</w:t>
      </w:r>
    </w:p>
    <w:p w14:paraId="05F3764E" w14:textId="77777777" w:rsidR="000F7CE1" w:rsidRDefault="000F7CE1" w:rsidP="000F7CE1">
      <w:pPr>
        <w:pStyle w:val="Heading1"/>
        <w:keepLines/>
        <w:numPr>
          <w:ilvl w:val="0"/>
          <w:numId w:val="32"/>
        </w:numPr>
        <w:pBdr>
          <w:top w:val="single" w:sz="12" w:space="3" w:color="auto"/>
        </w:pBdr>
        <w:overflowPunct w:val="0"/>
        <w:autoSpaceDE w:val="0"/>
        <w:autoSpaceDN w:val="0"/>
        <w:adjustRightInd w:val="0"/>
        <w:spacing w:after="180"/>
        <w:jc w:val="left"/>
        <w:textAlignment w:val="baseline"/>
        <w:rPr>
          <w:rFonts w:eastAsia="MS Mincho"/>
        </w:rPr>
      </w:pPr>
      <w:r>
        <w:t>Discussion</w:t>
      </w:r>
    </w:p>
    <w:p w14:paraId="498BEAA8" w14:textId="106F309B" w:rsidR="00B77C14" w:rsidRDefault="00112100" w:rsidP="000F7CE1">
      <w:r>
        <w:t xml:space="preserve">In RAN 2 #120 meeting we have </w:t>
      </w:r>
      <w:r w:rsidR="00B77C14">
        <w:t xml:space="preserve">had </w:t>
      </w:r>
      <w:r w:rsidR="002D23FE">
        <w:t>some</w:t>
      </w:r>
      <w:r w:rsidR="00B77C14">
        <w:t xml:space="preserve"> major agreements for progressing the work for this work item</w:t>
      </w:r>
      <w:r w:rsidR="002D23FE">
        <w:t xml:space="preserve"> concerning the FDM Solution Enhancements and Introduction of TDM Solution for IDC enhancements in Rel 18</w:t>
      </w:r>
      <w:r w:rsidR="00B77C14">
        <w:t xml:space="preserve">. These agreements </w:t>
      </w:r>
      <w:r w:rsidR="002D23FE">
        <w:t>summarised below</w:t>
      </w:r>
    </w:p>
    <w:p w14:paraId="7A160209" w14:textId="7B99DF11" w:rsidR="002D23FE" w:rsidRDefault="002D23FE" w:rsidP="00B77C14">
      <w:pPr>
        <w:pStyle w:val="ListParagraph"/>
        <w:numPr>
          <w:ilvl w:val="0"/>
          <w:numId w:val="35"/>
        </w:numPr>
      </w:pPr>
      <w:r>
        <w:rPr>
          <w:b/>
        </w:rPr>
        <w:t xml:space="preserve">Agreements for </w:t>
      </w:r>
      <w:r w:rsidR="004F38EE" w:rsidRPr="004F38EE">
        <w:rPr>
          <w:b/>
        </w:rPr>
        <w:t>FDM Solution Enhancements</w:t>
      </w:r>
      <w:r w:rsidR="004F38EE">
        <w:t xml:space="preserve"> </w:t>
      </w:r>
    </w:p>
    <w:p w14:paraId="528244DF" w14:textId="73E0ADF4" w:rsidR="00B77C14" w:rsidRDefault="00B77C14" w:rsidP="00285FBC">
      <w:pPr>
        <w:pStyle w:val="ListParagraph"/>
        <w:numPr>
          <w:ilvl w:val="0"/>
          <w:numId w:val="38"/>
        </w:numPr>
      </w:pPr>
      <w:r>
        <w:t xml:space="preserve">Decision to have </w:t>
      </w:r>
      <w:r w:rsidRPr="005F6588">
        <w:t xml:space="preserve">more granular </w:t>
      </w:r>
      <w:r>
        <w:t xml:space="preserve"> frequency </w:t>
      </w:r>
      <w:r w:rsidR="004C570B">
        <w:t>range-based</w:t>
      </w:r>
      <w:r>
        <w:t xml:space="preserve"> reporting form the UE to the network. This frequency </w:t>
      </w:r>
      <w:r w:rsidR="004C570B">
        <w:t>range-based</w:t>
      </w:r>
      <w:r>
        <w:t xml:space="preserve"> UE reporting will indicate the actual affected frequency range </w:t>
      </w:r>
      <w:r w:rsidR="004F38EE">
        <w:t xml:space="preserve">on which the UE detects the </w:t>
      </w:r>
      <w:r>
        <w:t>IDC problems</w:t>
      </w:r>
      <w:r w:rsidR="004F38EE">
        <w:t xml:space="preserve"> to enable the network to </w:t>
      </w:r>
      <w:r>
        <w:t>address the IDC issues.</w:t>
      </w:r>
    </w:p>
    <w:p w14:paraId="72BDD34D" w14:textId="77777777" w:rsidR="002D23FE" w:rsidRPr="002D23FE" w:rsidRDefault="002D23FE" w:rsidP="00B77C14">
      <w:pPr>
        <w:pStyle w:val="ListParagraph"/>
        <w:numPr>
          <w:ilvl w:val="0"/>
          <w:numId w:val="35"/>
        </w:numPr>
      </w:pPr>
      <w:r>
        <w:rPr>
          <w:b/>
        </w:rPr>
        <w:t xml:space="preserve">Agreements for </w:t>
      </w:r>
      <w:r w:rsidR="004F38EE" w:rsidRPr="004F38EE">
        <w:rPr>
          <w:b/>
        </w:rPr>
        <w:t>TDM solution</w:t>
      </w:r>
    </w:p>
    <w:p w14:paraId="20A72393" w14:textId="69D62403" w:rsidR="004F38EE" w:rsidRDefault="004F38EE" w:rsidP="00285FBC">
      <w:pPr>
        <w:pStyle w:val="ListParagraph"/>
        <w:numPr>
          <w:ilvl w:val="1"/>
          <w:numId w:val="37"/>
        </w:numPr>
      </w:pPr>
      <w:r w:rsidRPr="004F38EE">
        <w:t xml:space="preserve">Decision to </w:t>
      </w:r>
      <w:r w:rsidR="00285FBC">
        <w:t>introduce</w:t>
      </w:r>
      <w:r w:rsidRPr="004F38EE">
        <w:t xml:space="preserve"> UE preferred TDM pattern indicated to the network</w:t>
      </w:r>
      <w:r w:rsidR="00285FBC">
        <w:t>, as in LTE,</w:t>
      </w:r>
      <w:r w:rsidRPr="004F38EE">
        <w:t xml:space="preserve"> which will allow the network to configure appropriate TDM pattern for the UE to avoid scheduling the NR and non-3GPP traffic at the same time</w:t>
      </w:r>
      <w:r>
        <w:t>.</w:t>
      </w:r>
    </w:p>
    <w:p w14:paraId="3D04E9DF" w14:textId="16916579" w:rsidR="002D23FE" w:rsidRDefault="00285FBC" w:rsidP="00285FBC">
      <w:pPr>
        <w:pStyle w:val="ListParagraph"/>
        <w:numPr>
          <w:ilvl w:val="1"/>
          <w:numId w:val="37"/>
        </w:numPr>
      </w:pPr>
      <w:r w:rsidRPr="004F38EE">
        <w:t>Decision to</w:t>
      </w:r>
      <w:r>
        <w:t xml:space="preserve"> have </w:t>
      </w:r>
      <w:r w:rsidRPr="00285FBC">
        <w:t xml:space="preserve">Autonomous denial solution </w:t>
      </w:r>
      <w:r>
        <w:t xml:space="preserve">as in LTE </w:t>
      </w:r>
    </w:p>
    <w:p w14:paraId="69A27CF7" w14:textId="77777777" w:rsidR="00F1084C" w:rsidRDefault="00F1084C" w:rsidP="000F7CE1"/>
    <w:p w14:paraId="7470E436" w14:textId="4BDFBFD0" w:rsidR="00CD7AFC" w:rsidRDefault="009070D1" w:rsidP="000F7CE1">
      <w:pPr>
        <w:rPr>
          <w:rFonts w:eastAsiaTheme="minorEastAsia"/>
          <w:lang w:eastAsia="zh-CN"/>
        </w:rPr>
      </w:pPr>
      <w:r>
        <w:rPr>
          <w:rFonts w:eastAsiaTheme="minorEastAsia"/>
          <w:lang w:eastAsia="zh-CN"/>
        </w:rPr>
        <w:lastRenderedPageBreak/>
        <w:t xml:space="preserve">The UE that supports the IDC can only support </w:t>
      </w:r>
      <w:r w:rsidR="00F1084C">
        <w:rPr>
          <w:rFonts w:eastAsiaTheme="minorEastAsia"/>
          <w:lang w:eastAsia="zh-CN"/>
        </w:rPr>
        <w:t xml:space="preserve">FDM enhancement, </w:t>
      </w:r>
      <w:r>
        <w:rPr>
          <w:rFonts w:eastAsiaTheme="minorEastAsia"/>
          <w:lang w:eastAsia="zh-CN"/>
        </w:rPr>
        <w:t xml:space="preserve">i.e. </w:t>
      </w:r>
      <w:r w:rsidR="0051081F">
        <w:rPr>
          <w:rFonts w:eastAsiaTheme="minorEastAsia"/>
          <w:lang w:eastAsia="zh-CN"/>
        </w:rPr>
        <w:t xml:space="preserve">there is </w:t>
      </w:r>
      <w:r>
        <w:rPr>
          <w:rFonts w:eastAsiaTheme="minorEastAsia"/>
          <w:lang w:eastAsia="zh-CN"/>
        </w:rPr>
        <w:t xml:space="preserve">no need to </w:t>
      </w:r>
      <w:r w:rsidR="0051081F">
        <w:rPr>
          <w:rFonts w:eastAsiaTheme="minorEastAsia"/>
          <w:lang w:eastAsia="zh-CN"/>
        </w:rPr>
        <w:t>additionally</w:t>
      </w:r>
      <w:r>
        <w:rPr>
          <w:rFonts w:eastAsiaTheme="minorEastAsia"/>
          <w:lang w:eastAsia="zh-CN"/>
        </w:rPr>
        <w:t xml:space="preserve"> support the TDM solution. If the UE supports the TDM solution, a precondition is the UE should also support to report the FDM information. The FDM information could be the legacy affected carrier frequency list or the R18 defined affected carrier frequency range list for FDM enhancement. </w:t>
      </w:r>
    </w:p>
    <w:p w14:paraId="130E513E" w14:textId="496DA7B9" w:rsidR="004C570B" w:rsidRDefault="009070D1" w:rsidP="000F7CE1">
      <w:r>
        <w:rPr>
          <w:rFonts w:eastAsiaTheme="minorEastAsia"/>
          <w:lang w:eastAsia="zh-CN"/>
        </w:rPr>
        <w:t xml:space="preserve">So, </w:t>
      </w:r>
      <w:r>
        <w:t>c</w:t>
      </w:r>
      <w:r w:rsidR="00285FBC">
        <w:t>onsidering the</w:t>
      </w:r>
      <w:r w:rsidR="00965548">
        <w:t>se rational</w:t>
      </w:r>
      <w:r w:rsidR="00285FBC">
        <w:t xml:space="preserve">, we believe that we </w:t>
      </w:r>
      <w:r w:rsidR="004C570B">
        <w:t>should</w:t>
      </w:r>
      <w:r w:rsidR="00285FBC">
        <w:t xml:space="preserve"> introduce one new </w:t>
      </w:r>
      <w:r w:rsidR="00D22753">
        <w:t xml:space="preserve">UE </w:t>
      </w:r>
      <w:r w:rsidR="00285FBC">
        <w:t xml:space="preserve">capability for </w:t>
      </w:r>
      <w:r w:rsidR="00285FBC" w:rsidRPr="00285FBC">
        <w:t>FDM Solution Enhancements</w:t>
      </w:r>
      <w:r w:rsidR="004C570B">
        <w:t xml:space="preserve"> </w:t>
      </w:r>
      <w:r w:rsidR="00064B86">
        <w:t>indicating</w:t>
      </w:r>
      <w:r w:rsidR="004C570B">
        <w:t xml:space="preserve"> the support of granular frequency range-based reporting </w:t>
      </w:r>
      <w:r w:rsidR="00285FBC">
        <w:t xml:space="preserve"> and </w:t>
      </w:r>
      <w:r w:rsidR="00965548">
        <w:t>one</w:t>
      </w:r>
      <w:r w:rsidR="0051081F">
        <w:t xml:space="preserve"> </w:t>
      </w:r>
      <w:r w:rsidR="00285FBC">
        <w:t xml:space="preserve">new </w:t>
      </w:r>
      <w:r w:rsidR="00D22753">
        <w:t xml:space="preserve">UE </w:t>
      </w:r>
      <w:r w:rsidR="00285FBC">
        <w:t>capabilit</w:t>
      </w:r>
      <w:r w:rsidR="0051081F">
        <w:t xml:space="preserve">y </w:t>
      </w:r>
      <w:r w:rsidR="00064B86">
        <w:t>indicating</w:t>
      </w:r>
      <w:r w:rsidR="004C570B">
        <w:t xml:space="preserve"> support of TDM Pattern reporting</w:t>
      </w:r>
      <w:r w:rsidR="00965548">
        <w:t>.</w:t>
      </w:r>
      <w:r w:rsidR="00965548">
        <w:rPr>
          <w:rFonts w:eastAsiaTheme="minorEastAsia"/>
          <w:lang w:eastAsia="zh-CN"/>
        </w:rPr>
        <w:t xml:space="preserve"> And for the TDM capability, a precondition is the UE either support the legacy NR IDC or the IDC FDM enhancement.</w:t>
      </w:r>
      <w:r w:rsidR="007D40C9">
        <w:rPr>
          <w:rFonts w:eastAsiaTheme="minorEastAsia"/>
          <w:lang w:eastAsia="zh-CN"/>
        </w:rPr>
        <w:t xml:space="preserve"> </w:t>
      </w:r>
      <w:r w:rsidR="00965548">
        <w:rPr>
          <w:rFonts w:eastAsiaTheme="minorEastAsia"/>
          <w:lang w:eastAsia="zh-CN"/>
        </w:rPr>
        <w:t xml:space="preserve">As for the autonomous denial, since it is just a complementary solution for TDM, we think </w:t>
      </w:r>
      <w:r w:rsidR="007D40C9">
        <w:rPr>
          <w:rFonts w:eastAsiaTheme="minorEastAsia"/>
          <w:lang w:eastAsia="zh-CN"/>
        </w:rPr>
        <w:t xml:space="preserve">there is </w:t>
      </w:r>
      <w:r w:rsidR="00965548">
        <w:rPr>
          <w:rFonts w:eastAsiaTheme="minorEastAsia"/>
          <w:lang w:eastAsia="zh-CN"/>
        </w:rPr>
        <w:t xml:space="preserve">no need to define one separate UE capability. </w:t>
      </w:r>
      <w:r w:rsidR="00CD7AFC">
        <w:rPr>
          <w:rFonts w:eastAsiaTheme="minorEastAsia"/>
          <w:lang w:eastAsia="zh-CN"/>
        </w:rPr>
        <w:t xml:space="preserve">A </w:t>
      </w:r>
      <w:r w:rsidR="00965548">
        <w:rPr>
          <w:rFonts w:eastAsiaTheme="minorEastAsia"/>
          <w:lang w:eastAsia="zh-CN"/>
        </w:rPr>
        <w:t xml:space="preserve">UE </w:t>
      </w:r>
      <w:r w:rsidR="00CD7AFC">
        <w:rPr>
          <w:rFonts w:eastAsiaTheme="minorEastAsia"/>
          <w:lang w:eastAsia="zh-CN"/>
        </w:rPr>
        <w:t xml:space="preserve">that </w:t>
      </w:r>
      <w:r w:rsidR="00965548">
        <w:rPr>
          <w:rFonts w:eastAsiaTheme="minorEastAsia"/>
          <w:lang w:eastAsia="zh-CN"/>
        </w:rPr>
        <w:t>support</w:t>
      </w:r>
      <w:r w:rsidR="00CD7AFC">
        <w:rPr>
          <w:rFonts w:eastAsiaTheme="minorEastAsia"/>
          <w:lang w:eastAsia="zh-CN"/>
        </w:rPr>
        <w:t>s</w:t>
      </w:r>
      <w:r w:rsidR="00965548">
        <w:rPr>
          <w:rFonts w:eastAsiaTheme="minorEastAsia"/>
          <w:lang w:eastAsia="zh-CN"/>
        </w:rPr>
        <w:t xml:space="preserve"> the TDM solution should also support the autonomous denial.</w:t>
      </w:r>
    </w:p>
    <w:p w14:paraId="10D6819B" w14:textId="2B7E7D7C" w:rsidR="00D22753" w:rsidRPr="006A65B2" w:rsidRDefault="006A65B2" w:rsidP="00D22753">
      <w:r>
        <w:t>Hence we propose the following</w:t>
      </w:r>
    </w:p>
    <w:p w14:paraId="7081A99D" w14:textId="1932FF5A" w:rsidR="00D22753" w:rsidRDefault="00D22753" w:rsidP="00D22753">
      <w:pPr>
        <w:rPr>
          <w:b/>
        </w:rPr>
      </w:pPr>
      <w:r w:rsidRPr="00245097">
        <w:rPr>
          <w:b/>
        </w:rPr>
        <w:t xml:space="preserve">Proposal </w:t>
      </w:r>
      <w:r>
        <w:rPr>
          <w:b/>
        </w:rPr>
        <w:t>1</w:t>
      </w:r>
      <w:r w:rsidRPr="00245097">
        <w:rPr>
          <w:b/>
        </w:rPr>
        <w:t xml:space="preserve">: </w:t>
      </w:r>
      <w:r>
        <w:rPr>
          <w:b/>
        </w:rPr>
        <w:t>I</w:t>
      </w:r>
      <w:r w:rsidRPr="00D22753">
        <w:rPr>
          <w:b/>
        </w:rPr>
        <w:t xml:space="preserve">ntroduce one new </w:t>
      </w:r>
      <w:r>
        <w:rPr>
          <w:b/>
        </w:rPr>
        <w:t xml:space="preserve">UE </w:t>
      </w:r>
      <w:r w:rsidRPr="00D22753">
        <w:rPr>
          <w:b/>
        </w:rPr>
        <w:t xml:space="preserve">capability </w:t>
      </w:r>
      <w:r w:rsidR="00F66CC9">
        <w:rPr>
          <w:b/>
        </w:rPr>
        <w:t>indicating</w:t>
      </w:r>
      <w:r w:rsidRPr="00D22753">
        <w:rPr>
          <w:b/>
        </w:rPr>
        <w:t xml:space="preserve"> the support of granular frequency range-based reporting</w:t>
      </w:r>
      <w:r w:rsidR="008344D8">
        <w:rPr>
          <w:b/>
        </w:rPr>
        <w:t xml:space="preserve"> </w:t>
      </w:r>
      <w:r w:rsidR="008344D8" w:rsidRPr="00D22753">
        <w:rPr>
          <w:b/>
        </w:rPr>
        <w:t>for FDM Solution Enhancements</w:t>
      </w:r>
      <w:r>
        <w:rPr>
          <w:b/>
        </w:rPr>
        <w:t xml:space="preserve"> </w:t>
      </w:r>
      <w:r w:rsidRPr="00D22753">
        <w:rPr>
          <w:b/>
        </w:rPr>
        <w:t>in Rel 18</w:t>
      </w:r>
      <w:r>
        <w:rPr>
          <w:b/>
        </w:rPr>
        <w:t>.</w:t>
      </w:r>
    </w:p>
    <w:p w14:paraId="1FDB88D1" w14:textId="349391ED" w:rsidR="00965548" w:rsidRDefault="00D22753" w:rsidP="00965548">
      <w:pPr>
        <w:rPr>
          <w:b/>
        </w:rPr>
      </w:pPr>
      <w:r w:rsidRPr="00245097">
        <w:rPr>
          <w:b/>
        </w:rPr>
        <w:t xml:space="preserve">Proposal </w:t>
      </w:r>
      <w:r>
        <w:rPr>
          <w:b/>
        </w:rPr>
        <w:t>2</w:t>
      </w:r>
      <w:r w:rsidRPr="00245097">
        <w:rPr>
          <w:b/>
        </w:rPr>
        <w:t xml:space="preserve">: </w:t>
      </w:r>
      <w:r>
        <w:rPr>
          <w:b/>
        </w:rPr>
        <w:t>I</w:t>
      </w:r>
      <w:r w:rsidRPr="00D22753">
        <w:rPr>
          <w:b/>
        </w:rPr>
        <w:t xml:space="preserve">ntroduce </w:t>
      </w:r>
      <w:r w:rsidR="00965548">
        <w:rPr>
          <w:b/>
        </w:rPr>
        <w:t xml:space="preserve">one </w:t>
      </w:r>
      <w:r w:rsidRPr="00D22753">
        <w:rPr>
          <w:b/>
        </w:rPr>
        <w:t xml:space="preserve">new </w:t>
      </w:r>
      <w:r>
        <w:rPr>
          <w:b/>
        </w:rPr>
        <w:t xml:space="preserve">UE </w:t>
      </w:r>
      <w:r w:rsidRPr="00D22753">
        <w:rPr>
          <w:b/>
        </w:rPr>
        <w:t>capabilit</w:t>
      </w:r>
      <w:r w:rsidR="00E42063">
        <w:rPr>
          <w:b/>
        </w:rPr>
        <w:t>y</w:t>
      </w:r>
      <w:r w:rsidR="005F636A" w:rsidRPr="005F636A">
        <w:rPr>
          <w:b/>
        </w:rPr>
        <w:t xml:space="preserve"> </w:t>
      </w:r>
      <w:r w:rsidR="005F636A" w:rsidRPr="008344D8">
        <w:rPr>
          <w:b/>
        </w:rPr>
        <w:t xml:space="preserve">for </w:t>
      </w:r>
      <w:r w:rsidR="00965548">
        <w:rPr>
          <w:b/>
        </w:rPr>
        <w:t xml:space="preserve">IDC </w:t>
      </w:r>
      <w:r w:rsidR="005F636A" w:rsidRPr="008344D8">
        <w:rPr>
          <w:b/>
        </w:rPr>
        <w:t>TDM solution in Rel 18</w:t>
      </w:r>
      <w:r w:rsidR="00965548">
        <w:rPr>
          <w:b/>
        </w:rPr>
        <w:t xml:space="preserve"> </w:t>
      </w:r>
      <w:r w:rsidR="00E42063">
        <w:rPr>
          <w:b/>
        </w:rPr>
        <w:t xml:space="preserve">for </w:t>
      </w:r>
      <w:r w:rsidR="00064B86" w:rsidRPr="00965548">
        <w:rPr>
          <w:b/>
        </w:rPr>
        <w:t>indicating</w:t>
      </w:r>
      <w:r w:rsidRPr="00965548">
        <w:rPr>
          <w:b/>
        </w:rPr>
        <w:t xml:space="preserve"> support of TDM  </w:t>
      </w:r>
      <w:r w:rsidR="00965548">
        <w:rPr>
          <w:b/>
        </w:rPr>
        <w:t xml:space="preserve">assistance information </w:t>
      </w:r>
      <w:r w:rsidRPr="00965548">
        <w:rPr>
          <w:b/>
        </w:rPr>
        <w:t xml:space="preserve">reporting </w:t>
      </w:r>
      <w:r w:rsidR="00965548">
        <w:rPr>
          <w:b/>
        </w:rPr>
        <w:t xml:space="preserve">and the </w:t>
      </w:r>
      <w:r w:rsidRPr="00965548">
        <w:rPr>
          <w:b/>
        </w:rPr>
        <w:t>Autonomous denial solution</w:t>
      </w:r>
      <w:r w:rsidR="00965548">
        <w:rPr>
          <w:b/>
        </w:rPr>
        <w:t>.</w:t>
      </w:r>
    </w:p>
    <w:p w14:paraId="27208460" w14:textId="643ABAD8" w:rsidR="008344D8" w:rsidRPr="00AF3335" w:rsidRDefault="00965548" w:rsidP="00AF3335">
      <w:pPr>
        <w:pStyle w:val="ListParagraph"/>
        <w:numPr>
          <w:ilvl w:val="0"/>
          <w:numId w:val="43"/>
        </w:numPr>
        <w:rPr>
          <w:b/>
        </w:rPr>
      </w:pPr>
      <w:r>
        <w:rPr>
          <w:b/>
        </w:rPr>
        <w:t xml:space="preserve">The precondition of the </w:t>
      </w:r>
      <w:r w:rsidR="00CD7AFC">
        <w:rPr>
          <w:b/>
        </w:rPr>
        <w:t xml:space="preserve">UE </w:t>
      </w:r>
      <w:r>
        <w:rPr>
          <w:b/>
        </w:rPr>
        <w:t>capability</w:t>
      </w:r>
      <w:r w:rsidR="00D22753" w:rsidRPr="00AF3335">
        <w:rPr>
          <w:b/>
        </w:rPr>
        <w:t xml:space="preserve"> </w:t>
      </w:r>
      <w:r>
        <w:rPr>
          <w:b/>
        </w:rPr>
        <w:t>for supporting IDC TDM solution is the UE either support</w:t>
      </w:r>
      <w:r w:rsidR="00E42063">
        <w:rPr>
          <w:b/>
        </w:rPr>
        <w:t>s</w:t>
      </w:r>
      <w:r>
        <w:rPr>
          <w:b/>
        </w:rPr>
        <w:t xml:space="preserve"> legacy NR IDC solution or </w:t>
      </w:r>
      <w:r w:rsidR="00E42063">
        <w:rPr>
          <w:b/>
        </w:rPr>
        <w:t xml:space="preserve">has </w:t>
      </w:r>
      <w:r>
        <w:rPr>
          <w:b/>
        </w:rPr>
        <w:t xml:space="preserve">the capability </w:t>
      </w:r>
      <w:r w:rsidR="00E42063">
        <w:rPr>
          <w:b/>
        </w:rPr>
        <w:t xml:space="preserve">to support FDM solution enhancements as </w:t>
      </w:r>
      <w:r>
        <w:rPr>
          <w:b/>
        </w:rPr>
        <w:t>in proposal 1.</w:t>
      </w:r>
    </w:p>
    <w:p w14:paraId="52D0FB67" w14:textId="5FA194C3" w:rsidR="00132DB3" w:rsidRPr="00132DB3" w:rsidRDefault="00132DB3" w:rsidP="00132DB3">
      <w:pPr>
        <w:rPr>
          <w:rFonts w:eastAsiaTheme="minorEastAsia"/>
          <w:b/>
          <w:lang w:eastAsia="zh-CN"/>
        </w:rPr>
      </w:pPr>
    </w:p>
    <w:p w14:paraId="6864EEA0" w14:textId="77777777" w:rsidR="008344D8" w:rsidRDefault="008344D8" w:rsidP="008344D8">
      <w:pPr>
        <w:pStyle w:val="Heading1"/>
        <w:keepLines/>
        <w:numPr>
          <w:ilvl w:val="0"/>
          <w:numId w:val="32"/>
        </w:numPr>
        <w:pBdr>
          <w:top w:val="single" w:sz="12" w:space="3" w:color="auto"/>
        </w:pBdr>
        <w:overflowPunct w:val="0"/>
        <w:autoSpaceDE w:val="0"/>
        <w:autoSpaceDN w:val="0"/>
        <w:adjustRightInd w:val="0"/>
        <w:spacing w:after="180"/>
        <w:jc w:val="left"/>
        <w:textAlignment w:val="baseline"/>
        <w:rPr>
          <w:lang w:eastAsia="zh-CN"/>
        </w:rPr>
      </w:pPr>
      <w:r>
        <w:rPr>
          <w:lang w:eastAsia="zh-CN"/>
        </w:rPr>
        <w:t>Conclusions</w:t>
      </w:r>
    </w:p>
    <w:p w14:paraId="63616E70" w14:textId="6A7184C2" w:rsidR="008344D8" w:rsidRDefault="008344D8" w:rsidP="008344D8">
      <w:pPr>
        <w:pStyle w:val="ListParagraph"/>
        <w:ind w:left="0"/>
      </w:pPr>
      <w:r>
        <w:t>In this contribution, we discuss about the</w:t>
      </w:r>
      <w:r w:rsidRPr="000F7CE1">
        <w:t xml:space="preserve"> UE capability </w:t>
      </w:r>
      <w:r>
        <w:t xml:space="preserve">required </w:t>
      </w:r>
      <w:r w:rsidRPr="000F7CE1">
        <w:t>for IDC enhancement</w:t>
      </w:r>
      <w:r>
        <w:t xml:space="preserve"> in Rel 18 and propose the following.</w:t>
      </w:r>
    </w:p>
    <w:p w14:paraId="3147304A" w14:textId="77777777" w:rsidR="00E42063" w:rsidRDefault="00E42063" w:rsidP="00E42063">
      <w:pPr>
        <w:rPr>
          <w:b/>
        </w:rPr>
      </w:pPr>
      <w:r w:rsidRPr="00245097">
        <w:rPr>
          <w:b/>
        </w:rPr>
        <w:t xml:space="preserve">Proposal </w:t>
      </w:r>
      <w:r>
        <w:rPr>
          <w:b/>
        </w:rPr>
        <w:t>1</w:t>
      </w:r>
      <w:r w:rsidRPr="00245097">
        <w:rPr>
          <w:b/>
        </w:rPr>
        <w:t xml:space="preserve">: </w:t>
      </w:r>
      <w:r>
        <w:rPr>
          <w:b/>
        </w:rPr>
        <w:t>I</w:t>
      </w:r>
      <w:r w:rsidRPr="00D22753">
        <w:rPr>
          <w:b/>
        </w:rPr>
        <w:t xml:space="preserve">ntroduce one new </w:t>
      </w:r>
      <w:r>
        <w:rPr>
          <w:b/>
        </w:rPr>
        <w:t xml:space="preserve">UE </w:t>
      </w:r>
      <w:r w:rsidRPr="00D22753">
        <w:rPr>
          <w:b/>
        </w:rPr>
        <w:t xml:space="preserve">capability </w:t>
      </w:r>
      <w:r>
        <w:rPr>
          <w:b/>
        </w:rPr>
        <w:t>indicating</w:t>
      </w:r>
      <w:r w:rsidRPr="00D22753">
        <w:rPr>
          <w:b/>
        </w:rPr>
        <w:t xml:space="preserve"> the support of granular frequency range-based reporting</w:t>
      </w:r>
      <w:r>
        <w:rPr>
          <w:b/>
        </w:rPr>
        <w:t xml:space="preserve"> </w:t>
      </w:r>
      <w:r w:rsidRPr="00D22753">
        <w:rPr>
          <w:b/>
        </w:rPr>
        <w:t>for FDM Solution Enhancements</w:t>
      </w:r>
      <w:r>
        <w:rPr>
          <w:b/>
        </w:rPr>
        <w:t xml:space="preserve"> </w:t>
      </w:r>
      <w:r w:rsidRPr="00D22753">
        <w:rPr>
          <w:b/>
        </w:rPr>
        <w:t>in Rel 18</w:t>
      </w:r>
      <w:r>
        <w:rPr>
          <w:b/>
        </w:rPr>
        <w:t>.</w:t>
      </w:r>
    </w:p>
    <w:p w14:paraId="1314491F" w14:textId="77777777" w:rsidR="00E42063" w:rsidRDefault="00E42063" w:rsidP="00E42063">
      <w:pPr>
        <w:rPr>
          <w:b/>
        </w:rPr>
      </w:pPr>
      <w:r w:rsidRPr="00245097">
        <w:rPr>
          <w:b/>
        </w:rPr>
        <w:t xml:space="preserve">Proposal </w:t>
      </w:r>
      <w:r>
        <w:rPr>
          <w:b/>
        </w:rPr>
        <w:t>2</w:t>
      </w:r>
      <w:r w:rsidRPr="00245097">
        <w:rPr>
          <w:b/>
        </w:rPr>
        <w:t xml:space="preserve">: </w:t>
      </w:r>
      <w:r>
        <w:rPr>
          <w:b/>
        </w:rPr>
        <w:t>I</w:t>
      </w:r>
      <w:r w:rsidRPr="00D22753">
        <w:rPr>
          <w:b/>
        </w:rPr>
        <w:t xml:space="preserve">ntroduce </w:t>
      </w:r>
      <w:r>
        <w:rPr>
          <w:b/>
        </w:rPr>
        <w:t xml:space="preserve">one </w:t>
      </w:r>
      <w:r w:rsidRPr="00D22753">
        <w:rPr>
          <w:b/>
        </w:rPr>
        <w:t xml:space="preserve">new </w:t>
      </w:r>
      <w:r>
        <w:rPr>
          <w:b/>
        </w:rPr>
        <w:t xml:space="preserve">UE </w:t>
      </w:r>
      <w:r w:rsidRPr="00D22753">
        <w:rPr>
          <w:b/>
        </w:rPr>
        <w:t>capabilit</w:t>
      </w:r>
      <w:r>
        <w:rPr>
          <w:b/>
        </w:rPr>
        <w:t>y</w:t>
      </w:r>
      <w:r w:rsidRPr="005F636A">
        <w:rPr>
          <w:b/>
        </w:rPr>
        <w:t xml:space="preserve"> </w:t>
      </w:r>
      <w:r w:rsidRPr="008344D8">
        <w:rPr>
          <w:b/>
        </w:rPr>
        <w:t xml:space="preserve">for </w:t>
      </w:r>
      <w:r>
        <w:rPr>
          <w:b/>
        </w:rPr>
        <w:t xml:space="preserve">IDC </w:t>
      </w:r>
      <w:r w:rsidRPr="008344D8">
        <w:rPr>
          <w:b/>
        </w:rPr>
        <w:t>TDM solution in Rel 18</w:t>
      </w:r>
      <w:r>
        <w:rPr>
          <w:b/>
        </w:rPr>
        <w:t xml:space="preserve"> for </w:t>
      </w:r>
      <w:r w:rsidRPr="00965548">
        <w:rPr>
          <w:b/>
        </w:rPr>
        <w:t xml:space="preserve">indicating support of TDM  </w:t>
      </w:r>
      <w:r>
        <w:rPr>
          <w:b/>
        </w:rPr>
        <w:t xml:space="preserve">assistance information </w:t>
      </w:r>
      <w:r w:rsidRPr="00965548">
        <w:rPr>
          <w:b/>
        </w:rPr>
        <w:t xml:space="preserve">reporting </w:t>
      </w:r>
      <w:r>
        <w:rPr>
          <w:b/>
        </w:rPr>
        <w:t xml:space="preserve">and the </w:t>
      </w:r>
      <w:r w:rsidRPr="00965548">
        <w:rPr>
          <w:b/>
        </w:rPr>
        <w:t>Autonomous denial solution</w:t>
      </w:r>
      <w:r>
        <w:rPr>
          <w:b/>
        </w:rPr>
        <w:t>.</w:t>
      </w:r>
    </w:p>
    <w:p w14:paraId="0C45F39F" w14:textId="5472BDA5" w:rsidR="00E42063" w:rsidRPr="00AF3335" w:rsidRDefault="00E42063" w:rsidP="00E42063">
      <w:pPr>
        <w:pStyle w:val="ListParagraph"/>
        <w:numPr>
          <w:ilvl w:val="0"/>
          <w:numId w:val="43"/>
        </w:numPr>
        <w:rPr>
          <w:b/>
        </w:rPr>
      </w:pPr>
      <w:r>
        <w:rPr>
          <w:b/>
        </w:rPr>
        <w:t>The precondition of the UE capability</w:t>
      </w:r>
      <w:r w:rsidRPr="00AF3335">
        <w:rPr>
          <w:b/>
        </w:rPr>
        <w:t xml:space="preserve"> </w:t>
      </w:r>
      <w:r>
        <w:rPr>
          <w:b/>
        </w:rPr>
        <w:t>for supporting IDC TDM solution is the UE either supports legacy NR IDC solution or has the capability to support FDM solution enhancements as in proposal 1.</w:t>
      </w:r>
    </w:p>
    <w:p w14:paraId="1FFEEF3B" w14:textId="77777777" w:rsidR="00CD7AFC" w:rsidRDefault="00CD7AFC" w:rsidP="008344D8">
      <w:pPr>
        <w:pStyle w:val="ListParagraph"/>
        <w:ind w:left="0"/>
      </w:pPr>
    </w:p>
    <w:p w14:paraId="00E40057" w14:textId="77777777" w:rsidR="008344D8" w:rsidRDefault="008344D8" w:rsidP="008344D8">
      <w:pPr>
        <w:pStyle w:val="Heading1"/>
        <w:keepLines/>
        <w:numPr>
          <w:ilvl w:val="0"/>
          <w:numId w:val="32"/>
        </w:numPr>
        <w:pBdr>
          <w:top w:val="single" w:sz="12" w:space="3" w:color="auto"/>
        </w:pBdr>
        <w:overflowPunct w:val="0"/>
        <w:autoSpaceDE w:val="0"/>
        <w:autoSpaceDN w:val="0"/>
        <w:adjustRightInd w:val="0"/>
        <w:spacing w:after="180"/>
        <w:jc w:val="left"/>
        <w:textAlignment w:val="baseline"/>
        <w:rPr>
          <w:lang w:eastAsia="zh-CN"/>
        </w:rPr>
      </w:pPr>
      <w:r>
        <w:rPr>
          <w:lang w:eastAsia="zh-CN"/>
        </w:rPr>
        <w:t>References</w:t>
      </w:r>
    </w:p>
    <w:p w14:paraId="45EDB3B8" w14:textId="77777777" w:rsidR="008344D8" w:rsidRDefault="008344D8" w:rsidP="008344D8">
      <w:pPr>
        <w:pStyle w:val="References"/>
        <w:numPr>
          <w:ilvl w:val="0"/>
          <w:numId w:val="40"/>
        </w:numPr>
      </w:pPr>
      <w:r w:rsidRPr="006E40D7">
        <w:t>RP-213589</w:t>
      </w:r>
      <w:r>
        <w:t xml:space="preserve"> </w:t>
      </w:r>
      <w:r w:rsidRPr="006E40D7">
        <w:t>New WI: In-Device Co-existence (IDC) enhancements for NR and MR-DC</w:t>
      </w:r>
    </w:p>
    <w:p w14:paraId="4B146777" w14:textId="4F42B0BF" w:rsidR="008344D8" w:rsidRPr="006E40D7" w:rsidRDefault="008344D8" w:rsidP="008344D8">
      <w:pPr>
        <w:pStyle w:val="References"/>
        <w:numPr>
          <w:ilvl w:val="0"/>
          <w:numId w:val="40"/>
        </w:numPr>
      </w:pPr>
      <w:bookmarkStart w:id="4" w:name="_Ref100839412"/>
      <w:r>
        <w:rPr>
          <w:kern w:val="2"/>
          <w:lang w:eastAsia="zh-CN"/>
        </w:rPr>
        <w:t>TS 38.331</w:t>
      </w:r>
      <w:bookmarkEnd w:id="4"/>
      <w:r>
        <w:rPr>
          <w:kern w:val="2"/>
          <w:lang w:eastAsia="zh-CN"/>
        </w:rPr>
        <w:t xml:space="preserve"> NR </w:t>
      </w:r>
      <w:r w:rsidRPr="0026041E">
        <w:rPr>
          <w:kern w:val="2"/>
          <w:lang w:eastAsia="zh-CN"/>
        </w:rPr>
        <w:t>Radio Resource Control (RRC) protocol specification</w:t>
      </w:r>
      <w:r>
        <w:rPr>
          <w:kern w:val="2"/>
          <w:lang w:eastAsia="zh-CN"/>
        </w:rPr>
        <w:t xml:space="preserve"> v 17.</w:t>
      </w:r>
      <w:r w:rsidR="006A65B2">
        <w:rPr>
          <w:kern w:val="2"/>
          <w:lang w:eastAsia="zh-CN"/>
        </w:rPr>
        <w:t>3</w:t>
      </w:r>
      <w:r>
        <w:rPr>
          <w:kern w:val="2"/>
          <w:lang w:eastAsia="zh-CN"/>
        </w:rPr>
        <w:t>.0</w:t>
      </w:r>
    </w:p>
    <w:p w14:paraId="68D20DDB" w14:textId="48984B29" w:rsidR="008344D8" w:rsidRPr="001C267A" w:rsidRDefault="008344D8" w:rsidP="008344D8">
      <w:pPr>
        <w:pStyle w:val="References"/>
        <w:numPr>
          <w:ilvl w:val="0"/>
          <w:numId w:val="40"/>
        </w:numPr>
      </w:pPr>
      <w:r>
        <w:t xml:space="preserve">TS 36.331 </w:t>
      </w:r>
      <w:r>
        <w:rPr>
          <w:kern w:val="2"/>
          <w:lang w:eastAsia="zh-CN"/>
        </w:rPr>
        <w:t xml:space="preserve">LTE </w:t>
      </w:r>
      <w:r w:rsidRPr="0026041E">
        <w:rPr>
          <w:kern w:val="2"/>
          <w:lang w:eastAsia="zh-CN"/>
        </w:rPr>
        <w:t>Radio Resource Control (RRC) protocol specification</w:t>
      </w:r>
      <w:r>
        <w:rPr>
          <w:kern w:val="2"/>
          <w:lang w:eastAsia="zh-CN"/>
        </w:rPr>
        <w:t xml:space="preserve"> v 17.</w:t>
      </w:r>
      <w:r w:rsidR="006A65B2">
        <w:rPr>
          <w:kern w:val="2"/>
          <w:lang w:eastAsia="zh-CN"/>
        </w:rPr>
        <w:t>3</w:t>
      </w:r>
      <w:r>
        <w:rPr>
          <w:kern w:val="2"/>
          <w:lang w:eastAsia="zh-CN"/>
        </w:rPr>
        <w:t>.0</w:t>
      </w:r>
    </w:p>
    <w:p w14:paraId="56A2E2D4" w14:textId="5C7E6EB4" w:rsidR="008344D8" w:rsidRDefault="008344D8" w:rsidP="008344D8">
      <w:pPr>
        <w:pStyle w:val="References"/>
        <w:numPr>
          <w:ilvl w:val="0"/>
          <w:numId w:val="40"/>
        </w:numPr>
      </w:pPr>
      <w:r>
        <w:t xml:space="preserve">TS 36.306 LTE </w:t>
      </w:r>
      <w:r w:rsidRPr="008344D8">
        <w:t>User Equipment (UE) radio access capabilities</w:t>
      </w:r>
      <w:r w:rsidR="006A65B2">
        <w:t xml:space="preserve"> </w:t>
      </w:r>
      <w:r w:rsidR="006A65B2">
        <w:rPr>
          <w:kern w:val="2"/>
          <w:lang w:eastAsia="zh-CN"/>
        </w:rPr>
        <w:t>v 17.3.0</w:t>
      </w:r>
    </w:p>
    <w:p w14:paraId="0568FFB2" w14:textId="6EFCD8B1" w:rsidR="008344D8" w:rsidRDefault="008344D8" w:rsidP="008344D8">
      <w:pPr>
        <w:pStyle w:val="References"/>
        <w:numPr>
          <w:ilvl w:val="0"/>
          <w:numId w:val="40"/>
        </w:numPr>
      </w:pPr>
      <w:r>
        <w:t>TS 3</w:t>
      </w:r>
      <w:r w:rsidR="006A65B2">
        <w:t>8</w:t>
      </w:r>
      <w:r>
        <w:t xml:space="preserve">.306 </w:t>
      </w:r>
      <w:r w:rsidR="006A65B2">
        <w:t>NR</w:t>
      </w:r>
      <w:r>
        <w:t xml:space="preserve"> </w:t>
      </w:r>
      <w:r w:rsidRPr="008344D8">
        <w:t>User Equipment (UE) radio access capabilities</w:t>
      </w:r>
      <w:r w:rsidR="006A65B2">
        <w:t xml:space="preserve"> </w:t>
      </w:r>
      <w:r w:rsidR="006A65B2">
        <w:rPr>
          <w:kern w:val="2"/>
          <w:lang w:eastAsia="zh-CN"/>
        </w:rPr>
        <w:t>v 17.3.0</w:t>
      </w:r>
    </w:p>
    <w:p w14:paraId="383FA303" w14:textId="77777777" w:rsidR="00D22753" w:rsidRDefault="00D22753" w:rsidP="004C570B"/>
    <w:sectPr w:rsidR="00D22753"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AC8DE" w14:textId="77777777" w:rsidR="008925DE" w:rsidRDefault="008925DE"/>
  </w:endnote>
  <w:endnote w:type="continuationSeparator" w:id="0">
    <w:p w14:paraId="5C7BBD99" w14:textId="77777777" w:rsidR="008925DE" w:rsidRDefault="008925DE"/>
  </w:endnote>
  <w:endnote w:type="continuationNotice" w:id="1">
    <w:p w14:paraId="418D6574" w14:textId="77777777" w:rsidR="008925DE" w:rsidRDefault="00892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Hei">
    <w:altName w:val="Microsoft YaHei"/>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0469C" w14:textId="77777777" w:rsidR="008925DE" w:rsidRDefault="008925DE"/>
  </w:footnote>
  <w:footnote w:type="continuationSeparator" w:id="0">
    <w:p w14:paraId="68B13816" w14:textId="77777777" w:rsidR="008925DE" w:rsidRDefault="008925DE"/>
  </w:footnote>
  <w:footnote w:type="continuationNotice" w:id="1">
    <w:p w14:paraId="28CE317D" w14:textId="77777777" w:rsidR="008925DE" w:rsidRDefault="008925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681EAF"/>
    <w:multiLevelType w:val="multilevel"/>
    <w:tmpl w:val="BED44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32385A"/>
    <w:multiLevelType w:val="hybridMultilevel"/>
    <w:tmpl w:val="C5B2E02A"/>
    <w:lvl w:ilvl="0" w:tplc="14766B5A">
      <w:start w:val="1"/>
      <w:numFmt w:val="lowerRoman"/>
      <w:lvlText w:val="(%1)"/>
      <w:lvlJc w:val="left"/>
      <w:pPr>
        <w:ind w:left="990" w:hanging="720"/>
      </w:pPr>
      <w:rPr>
        <w:rFonts w:hint="default"/>
      </w:rPr>
    </w:lvl>
    <w:lvl w:ilvl="1" w:tplc="08090019">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6" w15:restartNumberingAfterBreak="0">
    <w:nsid w:val="0B893AAC"/>
    <w:multiLevelType w:val="multilevel"/>
    <w:tmpl w:val="4EDE0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87B60"/>
    <w:multiLevelType w:val="multilevel"/>
    <w:tmpl w:val="E8CEB2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C5C79"/>
    <w:multiLevelType w:val="multilevel"/>
    <w:tmpl w:val="93F6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4940C2"/>
    <w:multiLevelType w:val="multilevel"/>
    <w:tmpl w:val="0A907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FF65C9"/>
    <w:multiLevelType w:val="multilevel"/>
    <w:tmpl w:val="5B4860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84504C"/>
    <w:multiLevelType w:val="hybridMultilevel"/>
    <w:tmpl w:val="A44A2FD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9A26073"/>
    <w:multiLevelType w:val="multilevel"/>
    <w:tmpl w:val="BA2A86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19" w15:restartNumberingAfterBreak="0">
    <w:nsid w:val="31EE21BB"/>
    <w:multiLevelType w:val="hybridMultilevel"/>
    <w:tmpl w:val="0FF6AD48"/>
    <w:lvl w:ilvl="0" w:tplc="45067E8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D37CF7"/>
    <w:multiLevelType w:val="hybridMultilevel"/>
    <w:tmpl w:val="0FF6AD48"/>
    <w:lvl w:ilvl="0" w:tplc="45067E8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B16001"/>
    <w:multiLevelType w:val="hybridMultilevel"/>
    <w:tmpl w:val="92C032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23" w15:restartNumberingAfterBreak="0">
    <w:nsid w:val="41B2090A"/>
    <w:multiLevelType w:val="multilevel"/>
    <w:tmpl w:val="CB54E6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E048A2"/>
    <w:multiLevelType w:val="hybridMultilevel"/>
    <w:tmpl w:val="D62CF544"/>
    <w:lvl w:ilvl="0" w:tplc="787485C8">
      <w:start w:val="2"/>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973EE9"/>
    <w:multiLevelType w:val="hybridMultilevel"/>
    <w:tmpl w:val="4E0EC79A"/>
    <w:lvl w:ilvl="0" w:tplc="0409000F">
      <w:start w:val="1"/>
      <w:numFmt w:val="decimal"/>
      <w:lvlText w:val="%1."/>
      <w:lvlJc w:val="left"/>
      <w:pPr>
        <w:ind w:left="720" w:hanging="360"/>
      </w:pPr>
    </w:lvl>
    <w:lvl w:ilvl="1" w:tplc="0809001B">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D9560B"/>
    <w:multiLevelType w:val="hybridMultilevel"/>
    <w:tmpl w:val="5F5E2492"/>
    <w:lvl w:ilvl="0" w:tplc="3A6818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026B74"/>
    <w:multiLevelType w:val="hybridMultilevel"/>
    <w:tmpl w:val="3DF8D0B2"/>
    <w:lvl w:ilvl="0" w:tplc="0809001B">
      <w:start w:val="1"/>
      <w:numFmt w:val="lowerRoman"/>
      <w:lvlText w:val="%1."/>
      <w:lvlJc w:val="righ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F62D3B"/>
    <w:multiLevelType w:val="hybridMultilevel"/>
    <w:tmpl w:val="EA0C938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E51287"/>
    <w:multiLevelType w:val="hybridMultilevel"/>
    <w:tmpl w:val="0FF6AD48"/>
    <w:lvl w:ilvl="0" w:tplc="45067E8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7455CF"/>
    <w:multiLevelType w:val="multilevel"/>
    <w:tmpl w:val="52561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32"/>
  </w:num>
  <w:num w:numId="3">
    <w:abstractNumId w:val="9"/>
  </w:num>
  <w:num w:numId="4">
    <w:abstractNumId w:val="0"/>
  </w:num>
  <w:num w:numId="5">
    <w:abstractNumId w:val="28"/>
  </w:num>
  <w:num w:numId="6">
    <w:abstractNumId w:val="11"/>
  </w:num>
  <w:num w:numId="7">
    <w:abstractNumId w:val="18"/>
  </w:num>
  <w:num w:numId="8">
    <w:abstractNumId w:val="35"/>
  </w:num>
  <w:num w:numId="9">
    <w:abstractNumId w:val="36"/>
  </w:num>
  <w:num w:numId="10">
    <w:abstractNumId w:val="35"/>
  </w:num>
  <w:num w:numId="11">
    <w:abstractNumId w:val="16"/>
  </w:num>
  <w:num w:numId="12">
    <w:abstractNumId w:val="4"/>
  </w:num>
  <w:num w:numId="13">
    <w:abstractNumId w:val="34"/>
  </w:num>
  <w:num w:numId="14">
    <w:abstractNumId w:val="10"/>
  </w:num>
  <w:num w:numId="15">
    <w:abstractNumId w:val="31"/>
  </w:num>
  <w:num w:numId="16">
    <w:abstractNumId w:val="30"/>
  </w:num>
  <w:num w:numId="17">
    <w:abstractNumId w:val="35"/>
  </w:num>
  <w:num w:numId="18">
    <w:abstractNumId w:val="35"/>
  </w:num>
  <w:num w:numId="19">
    <w:abstractNumId w:val="5"/>
  </w:num>
  <w:num w:numId="20">
    <w:abstractNumId w:val="3"/>
  </w:num>
  <w:num w:numId="21">
    <w:abstractNumId w:val="12"/>
  </w:num>
  <w:num w:numId="22">
    <w:abstractNumId w:val="27"/>
  </w:num>
  <w:num w:numId="23">
    <w:abstractNumId w:val="35"/>
  </w:num>
  <w:num w:numId="24">
    <w:abstractNumId w:val="13"/>
  </w:num>
  <w:num w:numId="25">
    <w:abstractNumId w:val="17"/>
  </w:num>
  <w:num w:numId="26">
    <w:abstractNumId w:val="23"/>
  </w:num>
  <w:num w:numId="27">
    <w:abstractNumId w:val="14"/>
  </w:num>
  <w:num w:numId="28">
    <w:abstractNumId w:val="6"/>
  </w:num>
  <w:num w:numId="29">
    <w:abstractNumId w:val="8"/>
  </w:num>
  <w:num w:numId="30">
    <w:abstractNumId w:val="38"/>
  </w:num>
  <w:num w:numId="31">
    <w:abstractNumId w:val="1"/>
  </w:num>
  <w:num w:numId="32">
    <w:abstractNumId w:val="2"/>
  </w:num>
  <w:num w:numId="33">
    <w:abstractNumId w:val="7"/>
  </w:num>
  <w:num w:numId="34">
    <w:abstractNumId w:val="33"/>
  </w:num>
  <w:num w:numId="35">
    <w:abstractNumId w:val="15"/>
  </w:num>
  <w:num w:numId="36">
    <w:abstractNumId w:val="21"/>
  </w:num>
  <w:num w:numId="37">
    <w:abstractNumId w:val="25"/>
  </w:num>
  <w:num w:numId="38">
    <w:abstractNumId w:val="29"/>
  </w:num>
  <w:num w:numId="39">
    <w:abstractNumId w:val="19"/>
  </w:num>
  <w:num w:numId="40">
    <w:abstractNumId w:val="26"/>
  </w:num>
  <w:num w:numId="41">
    <w:abstractNumId w:val="20"/>
  </w:num>
  <w:num w:numId="42">
    <w:abstractNumId w:val="37"/>
  </w:num>
  <w:num w:numId="43">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44C"/>
    <w:rsid w:val="00001BB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6E11"/>
    <w:rsid w:val="000176A4"/>
    <w:rsid w:val="00017B54"/>
    <w:rsid w:val="00020190"/>
    <w:rsid w:val="0002049D"/>
    <w:rsid w:val="00020501"/>
    <w:rsid w:val="0002061C"/>
    <w:rsid w:val="00020700"/>
    <w:rsid w:val="00020B26"/>
    <w:rsid w:val="000211AC"/>
    <w:rsid w:val="000217EF"/>
    <w:rsid w:val="00021888"/>
    <w:rsid w:val="000218E4"/>
    <w:rsid w:val="00022094"/>
    <w:rsid w:val="0002224E"/>
    <w:rsid w:val="00022828"/>
    <w:rsid w:val="000228CE"/>
    <w:rsid w:val="00022FE4"/>
    <w:rsid w:val="0002384C"/>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1FBB"/>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9B"/>
    <w:rsid w:val="000411DE"/>
    <w:rsid w:val="00041507"/>
    <w:rsid w:val="00041A80"/>
    <w:rsid w:val="00041CB7"/>
    <w:rsid w:val="00041D87"/>
    <w:rsid w:val="000421ED"/>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2D9"/>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9AA"/>
    <w:rsid w:val="00057DFA"/>
    <w:rsid w:val="000600B4"/>
    <w:rsid w:val="00060137"/>
    <w:rsid w:val="0006042A"/>
    <w:rsid w:val="00060C0E"/>
    <w:rsid w:val="00060EF7"/>
    <w:rsid w:val="00061871"/>
    <w:rsid w:val="00061CA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B86"/>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986"/>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AC1"/>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27D"/>
    <w:rsid w:val="00095665"/>
    <w:rsid w:val="00095D53"/>
    <w:rsid w:val="00095E72"/>
    <w:rsid w:val="00095EEE"/>
    <w:rsid w:val="000961BC"/>
    <w:rsid w:val="000961DD"/>
    <w:rsid w:val="00096277"/>
    <w:rsid w:val="000968CD"/>
    <w:rsid w:val="000968E5"/>
    <w:rsid w:val="00097896"/>
    <w:rsid w:val="00097926"/>
    <w:rsid w:val="00097D28"/>
    <w:rsid w:val="000A0CB7"/>
    <w:rsid w:val="000A1935"/>
    <w:rsid w:val="000A1F96"/>
    <w:rsid w:val="000A2F38"/>
    <w:rsid w:val="000A3443"/>
    <w:rsid w:val="000A3D71"/>
    <w:rsid w:val="000A3E10"/>
    <w:rsid w:val="000A4B69"/>
    <w:rsid w:val="000A4EAB"/>
    <w:rsid w:val="000A5A4D"/>
    <w:rsid w:val="000A5D78"/>
    <w:rsid w:val="000A69EC"/>
    <w:rsid w:val="000A6A9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8E"/>
    <w:rsid w:val="000B4B9E"/>
    <w:rsid w:val="000B4C5F"/>
    <w:rsid w:val="000B5476"/>
    <w:rsid w:val="000B557F"/>
    <w:rsid w:val="000B577F"/>
    <w:rsid w:val="000B5877"/>
    <w:rsid w:val="000B5A8D"/>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5FD"/>
    <w:rsid w:val="000C5643"/>
    <w:rsid w:val="000C5B4A"/>
    <w:rsid w:val="000C5CB8"/>
    <w:rsid w:val="000C607F"/>
    <w:rsid w:val="000C63FA"/>
    <w:rsid w:val="000C64B9"/>
    <w:rsid w:val="000C67F0"/>
    <w:rsid w:val="000C67F4"/>
    <w:rsid w:val="000C6CD8"/>
    <w:rsid w:val="000C75BA"/>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07BF"/>
    <w:rsid w:val="000E15ED"/>
    <w:rsid w:val="000E16C4"/>
    <w:rsid w:val="000E1700"/>
    <w:rsid w:val="000E1A95"/>
    <w:rsid w:val="000E2433"/>
    <w:rsid w:val="000E284C"/>
    <w:rsid w:val="000E2CB4"/>
    <w:rsid w:val="000E2E3A"/>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0EBF"/>
    <w:rsid w:val="000F110E"/>
    <w:rsid w:val="000F12B3"/>
    <w:rsid w:val="000F1AB9"/>
    <w:rsid w:val="000F2CF0"/>
    <w:rsid w:val="000F2EBF"/>
    <w:rsid w:val="000F32E2"/>
    <w:rsid w:val="000F32E5"/>
    <w:rsid w:val="000F3A8D"/>
    <w:rsid w:val="000F3C4A"/>
    <w:rsid w:val="000F44EF"/>
    <w:rsid w:val="000F4612"/>
    <w:rsid w:val="000F467D"/>
    <w:rsid w:val="000F4DC7"/>
    <w:rsid w:val="000F5660"/>
    <w:rsid w:val="000F5AA1"/>
    <w:rsid w:val="000F5CB5"/>
    <w:rsid w:val="000F62E1"/>
    <w:rsid w:val="000F6396"/>
    <w:rsid w:val="000F6621"/>
    <w:rsid w:val="000F6883"/>
    <w:rsid w:val="000F68DB"/>
    <w:rsid w:val="000F7143"/>
    <w:rsid w:val="000F74D7"/>
    <w:rsid w:val="000F7640"/>
    <w:rsid w:val="000F78F0"/>
    <w:rsid w:val="000F7CE1"/>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2A8"/>
    <w:rsid w:val="00105D06"/>
    <w:rsid w:val="00105E78"/>
    <w:rsid w:val="00105EC0"/>
    <w:rsid w:val="0010626F"/>
    <w:rsid w:val="00106464"/>
    <w:rsid w:val="001074E6"/>
    <w:rsid w:val="001078FE"/>
    <w:rsid w:val="00107A4E"/>
    <w:rsid w:val="00107DE5"/>
    <w:rsid w:val="00107EB4"/>
    <w:rsid w:val="00112100"/>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6BF2"/>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DB3"/>
    <w:rsid w:val="00132E1D"/>
    <w:rsid w:val="00132FB0"/>
    <w:rsid w:val="001330CD"/>
    <w:rsid w:val="00133490"/>
    <w:rsid w:val="001334D1"/>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CE0"/>
    <w:rsid w:val="00151FCB"/>
    <w:rsid w:val="00152031"/>
    <w:rsid w:val="001520C2"/>
    <w:rsid w:val="00152814"/>
    <w:rsid w:val="00152895"/>
    <w:rsid w:val="001528C9"/>
    <w:rsid w:val="001529DB"/>
    <w:rsid w:val="00152A29"/>
    <w:rsid w:val="0015385D"/>
    <w:rsid w:val="00153B73"/>
    <w:rsid w:val="001541E9"/>
    <w:rsid w:val="00154416"/>
    <w:rsid w:val="0015482B"/>
    <w:rsid w:val="001549BD"/>
    <w:rsid w:val="00154B13"/>
    <w:rsid w:val="00155370"/>
    <w:rsid w:val="00155DEC"/>
    <w:rsid w:val="0015601D"/>
    <w:rsid w:val="0015609C"/>
    <w:rsid w:val="0015618E"/>
    <w:rsid w:val="001564BA"/>
    <w:rsid w:val="00156719"/>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787"/>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5B"/>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6C6F"/>
    <w:rsid w:val="00177779"/>
    <w:rsid w:val="00177AFB"/>
    <w:rsid w:val="00177CF6"/>
    <w:rsid w:val="001801A1"/>
    <w:rsid w:val="00180261"/>
    <w:rsid w:val="0018033B"/>
    <w:rsid w:val="00180406"/>
    <w:rsid w:val="001805A7"/>
    <w:rsid w:val="001808D8"/>
    <w:rsid w:val="00180F41"/>
    <w:rsid w:val="0018125A"/>
    <w:rsid w:val="001816A9"/>
    <w:rsid w:val="001816F9"/>
    <w:rsid w:val="0018197E"/>
    <w:rsid w:val="00181E6E"/>
    <w:rsid w:val="00181FBD"/>
    <w:rsid w:val="00181FE4"/>
    <w:rsid w:val="0018292A"/>
    <w:rsid w:val="001829DB"/>
    <w:rsid w:val="00182BEA"/>
    <w:rsid w:val="00182E3A"/>
    <w:rsid w:val="00182FEF"/>
    <w:rsid w:val="00183E9F"/>
    <w:rsid w:val="00184340"/>
    <w:rsid w:val="00184364"/>
    <w:rsid w:val="0018478D"/>
    <w:rsid w:val="00184900"/>
    <w:rsid w:val="0018495B"/>
    <w:rsid w:val="00184F98"/>
    <w:rsid w:val="001852FC"/>
    <w:rsid w:val="00186428"/>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4D0"/>
    <w:rsid w:val="001938CD"/>
    <w:rsid w:val="001939CB"/>
    <w:rsid w:val="001941AE"/>
    <w:rsid w:val="00194256"/>
    <w:rsid w:val="00194A54"/>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1D8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060"/>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B01"/>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898"/>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3FB7"/>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067"/>
    <w:rsid w:val="00204247"/>
    <w:rsid w:val="00204579"/>
    <w:rsid w:val="00204632"/>
    <w:rsid w:val="00204846"/>
    <w:rsid w:val="002048F9"/>
    <w:rsid w:val="00204BDF"/>
    <w:rsid w:val="002057E5"/>
    <w:rsid w:val="002059E4"/>
    <w:rsid w:val="00206B7F"/>
    <w:rsid w:val="00206FC4"/>
    <w:rsid w:val="00207127"/>
    <w:rsid w:val="002071DA"/>
    <w:rsid w:val="00207866"/>
    <w:rsid w:val="002078BD"/>
    <w:rsid w:val="00207997"/>
    <w:rsid w:val="00207D8A"/>
    <w:rsid w:val="00210246"/>
    <w:rsid w:val="002105B8"/>
    <w:rsid w:val="00210668"/>
    <w:rsid w:val="00210E20"/>
    <w:rsid w:val="00211A1A"/>
    <w:rsid w:val="00211C2F"/>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67C"/>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23"/>
    <w:rsid w:val="002349CD"/>
    <w:rsid w:val="00234C1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0C8"/>
    <w:rsid w:val="00245189"/>
    <w:rsid w:val="00245406"/>
    <w:rsid w:val="002457C9"/>
    <w:rsid w:val="0024660B"/>
    <w:rsid w:val="0024667F"/>
    <w:rsid w:val="002473A0"/>
    <w:rsid w:val="0024745A"/>
    <w:rsid w:val="002478B4"/>
    <w:rsid w:val="002502C9"/>
    <w:rsid w:val="00250508"/>
    <w:rsid w:val="00250B94"/>
    <w:rsid w:val="00250D88"/>
    <w:rsid w:val="0025120D"/>
    <w:rsid w:val="002514E7"/>
    <w:rsid w:val="00251980"/>
    <w:rsid w:val="00251A5E"/>
    <w:rsid w:val="002525D6"/>
    <w:rsid w:val="00252930"/>
    <w:rsid w:val="00252B46"/>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1B0"/>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356"/>
    <w:rsid w:val="0026750D"/>
    <w:rsid w:val="002676E4"/>
    <w:rsid w:val="00267D5C"/>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2C6"/>
    <w:rsid w:val="002764AE"/>
    <w:rsid w:val="002768BC"/>
    <w:rsid w:val="00276A0C"/>
    <w:rsid w:val="002774B5"/>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BC"/>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42"/>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15"/>
    <w:rsid w:val="002C06C3"/>
    <w:rsid w:val="002C0FFF"/>
    <w:rsid w:val="002C1047"/>
    <w:rsid w:val="002C116F"/>
    <w:rsid w:val="002C130C"/>
    <w:rsid w:val="002C1D16"/>
    <w:rsid w:val="002C26BF"/>
    <w:rsid w:val="002C2AB8"/>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3FE"/>
    <w:rsid w:val="002D28E1"/>
    <w:rsid w:val="002D3085"/>
    <w:rsid w:val="002D3343"/>
    <w:rsid w:val="002D34BC"/>
    <w:rsid w:val="002D35FE"/>
    <w:rsid w:val="002D3648"/>
    <w:rsid w:val="002D39BE"/>
    <w:rsid w:val="002D3AD3"/>
    <w:rsid w:val="002D3B4C"/>
    <w:rsid w:val="002D3DDA"/>
    <w:rsid w:val="002D3E3D"/>
    <w:rsid w:val="002D4188"/>
    <w:rsid w:val="002D453F"/>
    <w:rsid w:val="002D4569"/>
    <w:rsid w:val="002D47E9"/>
    <w:rsid w:val="002D4947"/>
    <w:rsid w:val="002D4DF4"/>
    <w:rsid w:val="002D534B"/>
    <w:rsid w:val="002D5430"/>
    <w:rsid w:val="002D5589"/>
    <w:rsid w:val="002D55BC"/>
    <w:rsid w:val="002D5842"/>
    <w:rsid w:val="002D5E6C"/>
    <w:rsid w:val="002D6289"/>
    <w:rsid w:val="002D673C"/>
    <w:rsid w:val="002D67CE"/>
    <w:rsid w:val="002D6817"/>
    <w:rsid w:val="002D6C44"/>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1D2"/>
    <w:rsid w:val="002E4304"/>
    <w:rsid w:val="002E465B"/>
    <w:rsid w:val="002E47F2"/>
    <w:rsid w:val="002E4BE8"/>
    <w:rsid w:val="002E5A76"/>
    <w:rsid w:val="002E5B47"/>
    <w:rsid w:val="002E60EF"/>
    <w:rsid w:val="002E65C3"/>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074F"/>
    <w:rsid w:val="00311776"/>
    <w:rsid w:val="003118F4"/>
    <w:rsid w:val="00311E43"/>
    <w:rsid w:val="00311E9F"/>
    <w:rsid w:val="00312049"/>
    <w:rsid w:val="00312142"/>
    <w:rsid w:val="00312616"/>
    <w:rsid w:val="00312761"/>
    <w:rsid w:val="00312D3D"/>
    <w:rsid w:val="00313466"/>
    <w:rsid w:val="00313EEA"/>
    <w:rsid w:val="00313F08"/>
    <w:rsid w:val="00313FEF"/>
    <w:rsid w:val="00314BBF"/>
    <w:rsid w:val="00314E03"/>
    <w:rsid w:val="003151E3"/>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76"/>
    <w:rsid w:val="00321ABF"/>
    <w:rsid w:val="00321AE5"/>
    <w:rsid w:val="0032364B"/>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A77"/>
    <w:rsid w:val="00340CA8"/>
    <w:rsid w:val="00340D3B"/>
    <w:rsid w:val="00340D6C"/>
    <w:rsid w:val="003415E1"/>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D88"/>
    <w:rsid w:val="00354E1A"/>
    <w:rsid w:val="003566FB"/>
    <w:rsid w:val="00356C98"/>
    <w:rsid w:val="00356EB7"/>
    <w:rsid w:val="00357262"/>
    <w:rsid w:val="00357337"/>
    <w:rsid w:val="0035779E"/>
    <w:rsid w:val="003577A9"/>
    <w:rsid w:val="003578D1"/>
    <w:rsid w:val="00357BE9"/>
    <w:rsid w:val="0036069B"/>
    <w:rsid w:val="003608B2"/>
    <w:rsid w:val="00361053"/>
    <w:rsid w:val="003614F4"/>
    <w:rsid w:val="00361B37"/>
    <w:rsid w:val="00362083"/>
    <w:rsid w:val="0036211C"/>
    <w:rsid w:val="0036276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2CC"/>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1DA"/>
    <w:rsid w:val="00385FA8"/>
    <w:rsid w:val="003860BD"/>
    <w:rsid w:val="003865A7"/>
    <w:rsid w:val="003867BE"/>
    <w:rsid w:val="00386B8B"/>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09DA"/>
    <w:rsid w:val="003A1467"/>
    <w:rsid w:val="003A17B9"/>
    <w:rsid w:val="003A199B"/>
    <w:rsid w:val="003A1ACF"/>
    <w:rsid w:val="003A22C7"/>
    <w:rsid w:val="003A24AE"/>
    <w:rsid w:val="003A2E84"/>
    <w:rsid w:val="003A2F68"/>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8BD"/>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1E2"/>
    <w:rsid w:val="003C0C00"/>
    <w:rsid w:val="003C0E28"/>
    <w:rsid w:val="003C18A9"/>
    <w:rsid w:val="003C18B1"/>
    <w:rsid w:val="003C2450"/>
    <w:rsid w:val="003C271E"/>
    <w:rsid w:val="003C3252"/>
    <w:rsid w:val="003C3B2C"/>
    <w:rsid w:val="003C4385"/>
    <w:rsid w:val="003C4CFB"/>
    <w:rsid w:val="003C52DF"/>
    <w:rsid w:val="003C5E62"/>
    <w:rsid w:val="003C5EEE"/>
    <w:rsid w:val="003C5F62"/>
    <w:rsid w:val="003C5FCF"/>
    <w:rsid w:val="003C6D39"/>
    <w:rsid w:val="003C7084"/>
    <w:rsid w:val="003C77EA"/>
    <w:rsid w:val="003C7AF5"/>
    <w:rsid w:val="003D0945"/>
    <w:rsid w:val="003D09A2"/>
    <w:rsid w:val="003D0BDC"/>
    <w:rsid w:val="003D1706"/>
    <w:rsid w:val="003D1B49"/>
    <w:rsid w:val="003D2B79"/>
    <w:rsid w:val="003D35C3"/>
    <w:rsid w:val="003D37D9"/>
    <w:rsid w:val="003D38E7"/>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9D2"/>
    <w:rsid w:val="003F4E97"/>
    <w:rsid w:val="003F52A9"/>
    <w:rsid w:val="003F53E8"/>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0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2F7E"/>
    <w:rsid w:val="004237BF"/>
    <w:rsid w:val="00423954"/>
    <w:rsid w:val="00423A63"/>
    <w:rsid w:val="0042414E"/>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3CC"/>
    <w:rsid w:val="004345C4"/>
    <w:rsid w:val="00434D0E"/>
    <w:rsid w:val="0043501C"/>
    <w:rsid w:val="00435310"/>
    <w:rsid w:val="004354C4"/>
    <w:rsid w:val="0043679A"/>
    <w:rsid w:val="004370EF"/>
    <w:rsid w:val="0044097B"/>
    <w:rsid w:val="00440AA3"/>
    <w:rsid w:val="00441887"/>
    <w:rsid w:val="004418A2"/>
    <w:rsid w:val="004418C8"/>
    <w:rsid w:val="00441BD1"/>
    <w:rsid w:val="00441E98"/>
    <w:rsid w:val="004425D9"/>
    <w:rsid w:val="00442AB1"/>
    <w:rsid w:val="00442FA0"/>
    <w:rsid w:val="00443053"/>
    <w:rsid w:val="004432BE"/>
    <w:rsid w:val="00443515"/>
    <w:rsid w:val="00443795"/>
    <w:rsid w:val="00443871"/>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23E5"/>
    <w:rsid w:val="00452FAA"/>
    <w:rsid w:val="00452FC8"/>
    <w:rsid w:val="004537FE"/>
    <w:rsid w:val="00453D78"/>
    <w:rsid w:val="0045476F"/>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82B"/>
    <w:rsid w:val="00464963"/>
    <w:rsid w:val="00464D5D"/>
    <w:rsid w:val="00464EDE"/>
    <w:rsid w:val="00465146"/>
    <w:rsid w:val="0046522E"/>
    <w:rsid w:val="004652B6"/>
    <w:rsid w:val="00465A09"/>
    <w:rsid w:val="00466BDA"/>
    <w:rsid w:val="00466F97"/>
    <w:rsid w:val="0046778A"/>
    <w:rsid w:val="00467DA1"/>
    <w:rsid w:val="004700D5"/>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6BA"/>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7AA"/>
    <w:rsid w:val="00493827"/>
    <w:rsid w:val="00493D85"/>
    <w:rsid w:val="00494B59"/>
    <w:rsid w:val="00495530"/>
    <w:rsid w:val="00495CDF"/>
    <w:rsid w:val="00495CFD"/>
    <w:rsid w:val="00495F65"/>
    <w:rsid w:val="0049667F"/>
    <w:rsid w:val="00496E2E"/>
    <w:rsid w:val="00496EDB"/>
    <w:rsid w:val="00496F95"/>
    <w:rsid w:val="004970D6"/>
    <w:rsid w:val="004973F9"/>
    <w:rsid w:val="004976E7"/>
    <w:rsid w:val="00497D1D"/>
    <w:rsid w:val="004A027E"/>
    <w:rsid w:val="004A03A1"/>
    <w:rsid w:val="004A041D"/>
    <w:rsid w:val="004A079B"/>
    <w:rsid w:val="004A0BD8"/>
    <w:rsid w:val="004A123A"/>
    <w:rsid w:val="004A12A5"/>
    <w:rsid w:val="004A15B6"/>
    <w:rsid w:val="004A1864"/>
    <w:rsid w:val="004A1E1F"/>
    <w:rsid w:val="004A1E88"/>
    <w:rsid w:val="004A21F2"/>
    <w:rsid w:val="004A256E"/>
    <w:rsid w:val="004A2700"/>
    <w:rsid w:val="004A2B7A"/>
    <w:rsid w:val="004A2CAA"/>
    <w:rsid w:val="004A2CEB"/>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56BA"/>
    <w:rsid w:val="004C570B"/>
    <w:rsid w:val="004C5908"/>
    <w:rsid w:val="004C5B5A"/>
    <w:rsid w:val="004C5CBD"/>
    <w:rsid w:val="004C5EC4"/>
    <w:rsid w:val="004C68DD"/>
    <w:rsid w:val="004C691F"/>
    <w:rsid w:val="004C6F57"/>
    <w:rsid w:val="004C7102"/>
    <w:rsid w:val="004C73E7"/>
    <w:rsid w:val="004C7FA0"/>
    <w:rsid w:val="004D0263"/>
    <w:rsid w:val="004D090D"/>
    <w:rsid w:val="004D107B"/>
    <w:rsid w:val="004D158A"/>
    <w:rsid w:val="004D16A4"/>
    <w:rsid w:val="004D1954"/>
    <w:rsid w:val="004D1A85"/>
    <w:rsid w:val="004D1C3E"/>
    <w:rsid w:val="004D1E1D"/>
    <w:rsid w:val="004D1F2F"/>
    <w:rsid w:val="004D25D1"/>
    <w:rsid w:val="004D289B"/>
    <w:rsid w:val="004D2A95"/>
    <w:rsid w:val="004D32FF"/>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D1B"/>
    <w:rsid w:val="004D7E07"/>
    <w:rsid w:val="004E0C2D"/>
    <w:rsid w:val="004E0C91"/>
    <w:rsid w:val="004E0CA1"/>
    <w:rsid w:val="004E0F6C"/>
    <w:rsid w:val="004E1929"/>
    <w:rsid w:val="004E20DC"/>
    <w:rsid w:val="004E2422"/>
    <w:rsid w:val="004E2A59"/>
    <w:rsid w:val="004E2AE9"/>
    <w:rsid w:val="004E2FA3"/>
    <w:rsid w:val="004E315B"/>
    <w:rsid w:val="004E3395"/>
    <w:rsid w:val="004E33B9"/>
    <w:rsid w:val="004E44DE"/>
    <w:rsid w:val="004E4A79"/>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76E"/>
    <w:rsid w:val="004F186E"/>
    <w:rsid w:val="004F2A80"/>
    <w:rsid w:val="004F3145"/>
    <w:rsid w:val="004F3585"/>
    <w:rsid w:val="004F38EE"/>
    <w:rsid w:val="004F390F"/>
    <w:rsid w:val="004F4875"/>
    <w:rsid w:val="004F4921"/>
    <w:rsid w:val="004F4F4B"/>
    <w:rsid w:val="004F4FA8"/>
    <w:rsid w:val="004F4FD5"/>
    <w:rsid w:val="004F5F84"/>
    <w:rsid w:val="004F64F1"/>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1F"/>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2D2"/>
    <w:rsid w:val="00522312"/>
    <w:rsid w:val="00523FAA"/>
    <w:rsid w:val="00524170"/>
    <w:rsid w:val="0052481B"/>
    <w:rsid w:val="0052482E"/>
    <w:rsid w:val="00524923"/>
    <w:rsid w:val="00524E8F"/>
    <w:rsid w:val="00524EA9"/>
    <w:rsid w:val="00525AF0"/>
    <w:rsid w:val="00526094"/>
    <w:rsid w:val="005263CB"/>
    <w:rsid w:val="005269C9"/>
    <w:rsid w:val="00526CE7"/>
    <w:rsid w:val="00527CEA"/>
    <w:rsid w:val="00527F4B"/>
    <w:rsid w:val="0053003D"/>
    <w:rsid w:val="00530356"/>
    <w:rsid w:val="00530836"/>
    <w:rsid w:val="00530CA1"/>
    <w:rsid w:val="00530D0D"/>
    <w:rsid w:val="0053124F"/>
    <w:rsid w:val="00531325"/>
    <w:rsid w:val="00531D2E"/>
    <w:rsid w:val="005321AB"/>
    <w:rsid w:val="005322AA"/>
    <w:rsid w:val="00532F30"/>
    <w:rsid w:val="00533A6F"/>
    <w:rsid w:val="00533DEB"/>
    <w:rsid w:val="00534142"/>
    <w:rsid w:val="00534B73"/>
    <w:rsid w:val="00534F56"/>
    <w:rsid w:val="00535DA1"/>
    <w:rsid w:val="00535F7A"/>
    <w:rsid w:val="00536F1F"/>
    <w:rsid w:val="00537565"/>
    <w:rsid w:val="005378B3"/>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2397"/>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6DCB"/>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3AC2"/>
    <w:rsid w:val="00564316"/>
    <w:rsid w:val="0056535D"/>
    <w:rsid w:val="00565DA4"/>
    <w:rsid w:val="00566B4E"/>
    <w:rsid w:val="00566BF5"/>
    <w:rsid w:val="005679DA"/>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3D5"/>
    <w:rsid w:val="00573436"/>
    <w:rsid w:val="00573AB7"/>
    <w:rsid w:val="00573EA4"/>
    <w:rsid w:val="0057416C"/>
    <w:rsid w:val="00574194"/>
    <w:rsid w:val="005742B2"/>
    <w:rsid w:val="00574377"/>
    <w:rsid w:val="005747A5"/>
    <w:rsid w:val="0057499C"/>
    <w:rsid w:val="00574B62"/>
    <w:rsid w:val="00574BD8"/>
    <w:rsid w:val="00574F86"/>
    <w:rsid w:val="005751D4"/>
    <w:rsid w:val="00575615"/>
    <w:rsid w:val="005759EF"/>
    <w:rsid w:val="00575C5B"/>
    <w:rsid w:val="00575E01"/>
    <w:rsid w:val="0057603A"/>
    <w:rsid w:val="005763F7"/>
    <w:rsid w:val="0057646F"/>
    <w:rsid w:val="005769F0"/>
    <w:rsid w:val="00576EB0"/>
    <w:rsid w:val="00577359"/>
    <w:rsid w:val="00577365"/>
    <w:rsid w:val="00577BB2"/>
    <w:rsid w:val="00580A39"/>
    <w:rsid w:val="00580BED"/>
    <w:rsid w:val="00580C62"/>
    <w:rsid w:val="00580D76"/>
    <w:rsid w:val="0058126C"/>
    <w:rsid w:val="00581713"/>
    <w:rsid w:val="00581B0E"/>
    <w:rsid w:val="005822A7"/>
    <w:rsid w:val="0058241D"/>
    <w:rsid w:val="0058372B"/>
    <w:rsid w:val="00583CC0"/>
    <w:rsid w:val="00584267"/>
    <w:rsid w:val="0058464B"/>
    <w:rsid w:val="0058465C"/>
    <w:rsid w:val="00584C9B"/>
    <w:rsid w:val="00584F26"/>
    <w:rsid w:val="00585415"/>
    <w:rsid w:val="00585569"/>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810"/>
    <w:rsid w:val="00592E6C"/>
    <w:rsid w:val="00592EF6"/>
    <w:rsid w:val="005937B3"/>
    <w:rsid w:val="00593824"/>
    <w:rsid w:val="00593ADC"/>
    <w:rsid w:val="00593EAF"/>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381"/>
    <w:rsid w:val="005A467D"/>
    <w:rsid w:val="005A4B76"/>
    <w:rsid w:val="005A4CFF"/>
    <w:rsid w:val="005A501C"/>
    <w:rsid w:val="005A5C24"/>
    <w:rsid w:val="005A5D08"/>
    <w:rsid w:val="005A61F1"/>
    <w:rsid w:val="005A620E"/>
    <w:rsid w:val="005A6247"/>
    <w:rsid w:val="005A6352"/>
    <w:rsid w:val="005A6642"/>
    <w:rsid w:val="005A71AF"/>
    <w:rsid w:val="005A75D3"/>
    <w:rsid w:val="005B021C"/>
    <w:rsid w:val="005B03B6"/>
    <w:rsid w:val="005B05B9"/>
    <w:rsid w:val="005B0632"/>
    <w:rsid w:val="005B0A65"/>
    <w:rsid w:val="005B0B33"/>
    <w:rsid w:val="005B0BCF"/>
    <w:rsid w:val="005B0F5D"/>
    <w:rsid w:val="005B1FB3"/>
    <w:rsid w:val="005B23F2"/>
    <w:rsid w:val="005B27AB"/>
    <w:rsid w:val="005B2988"/>
    <w:rsid w:val="005B352D"/>
    <w:rsid w:val="005B361B"/>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A54"/>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0D6E"/>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A92"/>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5CB"/>
    <w:rsid w:val="005F494B"/>
    <w:rsid w:val="005F4A0F"/>
    <w:rsid w:val="005F52A8"/>
    <w:rsid w:val="005F5A14"/>
    <w:rsid w:val="005F61E1"/>
    <w:rsid w:val="005F636A"/>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5F4"/>
    <w:rsid w:val="00614C53"/>
    <w:rsid w:val="00614D3F"/>
    <w:rsid w:val="00614E4F"/>
    <w:rsid w:val="00614EF7"/>
    <w:rsid w:val="00615962"/>
    <w:rsid w:val="006159E7"/>
    <w:rsid w:val="00615B58"/>
    <w:rsid w:val="00615E49"/>
    <w:rsid w:val="0061682B"/>
    <w:rsid w:val="00616D1D"/>
    <w:rsid w:val="0061714F"/>
    <w:rsid w:val="0061764D"/>
    <w:rsid w:val="006179AA"/>
    <w:rsid w:val="00617EDD"/>
    <w:rsid w:val="006200AA"/>
    <w:rsid w:val="00620832"/>
    <w:rsid w:val="00620940"/>
    <w:rsid w:val="0062096C"/>
    <w:rsid w:val="00620A95"/>
    <w:rsid w:val="00620CE1"/>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3FC"/>
    <w:rsid w:val="006268AB"/>
    <w:rsid w:val="00626C91"/>
    <w:rsid w:val="006273AC"/>
    <w:rsid w:val="006274E3"/>
    <w:rsid w:val="006275CC"/>
    <w:rsid w:val="006277F4"/>
    <w:rsid w:val="00627CAE"/>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37CA1"/>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7F8"/>
    <w:rsid w:val="00643C57"/>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3C0"/>
    <w:rsid w:val="00657532"/>
    <w:rsid w:val="006575E9"/>
    <w:rsid w:val="00657666"/>
    <w:rsid w:val="006577EF"/>
    <w:rsid w:val="00660453"/>
    <w:rsid w:val="0066075D"/>
    <w:rsid w:val="006611EA"/>
    <w:rsid w:val="00661727"/>
    <w:rsid w:val="0066220A"/>
    <w:rsid w:val="00662B32"/>
    <w:rsid w:val="00662E8D"/>
    <w:rsid w:val="006633D3"/>
    <w:rsid w:val="006636BC"/>
    <w:rsid w:val="00663BC6"/>
    <w:rsid w:val="00663C40"/>
    <w:rsid w:val="00663F9E"/>
    <w:rsid w:val="00664015"/>
    <w:rsid w:val="006640D6"/>
    <w:rsid w:val="00664255"/>
    <w:rsid w:val="00664391"/>
    <w:rsid w:val="006644EE"/>
    <w:rsid w:val="00664602"/>
    <w:rsid w:val="006649CC"/>
    <w:rsid w:val="00664B48"/>
    <w:rsid w:val="00665356"/>
    <w:rsid w:val="00665812"/>
    <w:rsid w:val="00665B2C"/>
    <w:rsid w:val="00665DB6"/>
    <w:rsid w:val="00665E04"/>
    <w:rsid w:val="006669A0"/>
    <w:rsid w:val="00666C0E"/>
    <w:rsid w:val="00666E1C"/>
    <w:rsid w:val="00666EAB"/>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562"/>
    <w:rsid w:val="0068166B"/>
    <w:rsid w:val="00681A44"/>
    <w:rsid w:val="00681AC8"/>
    <w:rsid w:val="00681BE5"/>
    <w:rsid w:val="00683059"/>
    <w:rsid w:val="00683865"/>
    <w:rsid w:val="00683A11"/>
    <w:rsid w:val="00683F64"/>
    <w:rsid w:val="00683FC5"/>
    <w:rsid w:val="0068404D"/>
    <w:rsid w:val="00684190"/>
    <w:rsid w:val="0068419E"/>
    <w:rsid w:val="00684A6A"/>
    <w:rsid w:val="00684B71"/>
    <w:rsid w:val="00684E6A"/>
    <w:rsid w:val="006850BF"/>
    <w:rsid w:val="006851A7"/>
    <w:rsid w:val="0068567A"/>
    <w:rsid w:val="006856FA"/>
    <w:rsid w:val="00686235"/>
    <w:rsid w:val="006864B9"/>
    <w:rsid w:val="00686B08"/>
    <w:rsid w:val="00686B10"/>
    <w:rsid w:val="00687093"/>
    <w:rsid w:val="00687AF6"/>
    <w:rsid w:val="00687C26"/>
    <w:rsid w:val="00687D67"/>
    <w:rsid w:val="00690212"/>
    <w:rsid w:val="006904AD"/>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D"/>
    <w:rsid w:val="0069516E"/>
    <w:rsid w:val="0069518D"/>
    <w:rsid w:val="0069532A"/>
    <w:rsid w:val="00695347"/>
    <w:rsid w:val="00695452"/>
    <w:rsid w:val="00695537"/>
    <w:rsid w:val="00695A45"/>
    <w:rsid w:val="00695FB3"/>
    <w:rsid w:val="00696013"/>
    <w:rsid w:val="006961EE"/>
    <w:rsid w:val="006963E3"/>
    <w:rsid w:val="00696426"/>
    <w:rsid w:val="0069696B"/>
    <w:rsid w:val="00696A54"/>
    <w:rsid w:val="0069758A"/>
    <w:rsid w:val="006A050E"/>
    <w:rsid w:val="006A05C5"/>
    <w:rsid w:val="006A0BEB"/>
    <w:rsid w:val="006A1554"/>
    <w:rsid w:val="006A1697"/>
    <w:rsid w:val="006A17B9"/>
    <w:rsid w:val="006A18AE"/>
    <w:rsid w:val="006A1F47"/>
    <w:rsid w:val="006A234D"/>
    <w:rsid w:val="006A2647"/>
    <w:rsid w:val="006A344B"/>
    <w:rsid w:val="006A35D7"/>
    <w:rsid w:val="006A367E"/>
    <w:rsid w:val="006A4385"/>
    <w:rsid w:val="006A465B"/>
    <w:rsid w:val="006A4BB6"/>
    <w:rsid w:val="006A53ED"/>
    <w:rsid w:val="006A5E95"/>
    <w:rsid w:val="006A651F"/>
    <w:rsid w:val="006A65B2"/>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23F"/>
    <w:rsid w:val="006D346E"/>
    <w:rsid w:val="006D379E"/>
    <w:rsid w:val="006D3CF1"/>
    <w:rsid w:val="006D4081"/>
    <w:rsid w:val="006D496B"/>
    <w:rsid w:val="006D4B5E"/>
    <w:rsid w:val="006D4C15"/>
    <w:rsid w:val="006D574F"/>
    <w:rsid w:val="006D64CD"/>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16C"/>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2AC"/>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367A"/>
    <w:rsid w:val="00704085"/>
    <w:rsid w:val="00704221"/>
    <w:rsid w:val="0070434E"/>
    <w:rsid w:val="007044CE"/>
    <w:rsid w:val="00704674"/>
    <w:rsid w:val="00704BB9"/>
    <w:rsid w:val="00705513"/>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1D76"/>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E85"/>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19E"/>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C5E"/>
    <w:rsid w:val="00775E6D"/>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38F4"/>
    <w:rsid w:val="00784253"/>
    <w:rsid w:val="007846FB"/>
    <w:rsid w:val="0078482B"/>
    <w:rsid w:val="00784D1A"/>
    <w:rsid w:val="0078528B"/>
    <w:rsid w:val="0078589F"/>
    <w:rsid w:val="00785945"/>
    <w:rsid w:val="0078639D"/>
    <w:rsid w:val="0078704A"/>
    <w:rsid w:val="00787050"/>
    <w:rsid w:val="00787342"/>
    <w:rsid w:val="00787723"/>
    <w:rsid w:val="007901EE"/>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7A2"/>
    <w:rsid w:val="00795A48"/>
    <w:rsid w:val="00795D07"/>
    <w:rsid w:val="00795FA0"/>
    <w:rsid w:val="007961FE"/>
    <w:rsid w:val="00796446"/>
    <w:rsid w:val="00796856"/>
    <w:rsid w:val="00796A00"/>
    <w:rsid w:val="00796F57"/>
    <w:rsid w:val="00796F71"/>
    <w:rsid w:val="00797A9C"/>
    <w:rsid w:val="007A00E3"/>
    <w:rsid w:val="007A118A"/>
    <w:rsid w:val="007A3605"/>
    <w:rsid w:val="007A3DF3"/>
    <w:rsid w:val="007A46AB"/>
    <w:rsid w:val="007A47FB"/>
    <w:rsid w:val="007A4CC6"/>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758"/>
    <w:rsid w:val="007B2EC2"/>
    <w:rsid w:val="007B3041"/>
    <w:rsid w:val="007B30D6"/>
    <w:rsid w:val="007B3305"/>
    <w:rsid w:val="007B3495"/>
    <w:rsid w:val="007B363C"/>
    <w:rsid w:val="007B3A05"/>
    <w:rsid w:val="007B3D91"/>
    <w:rsid w:val="007B3DFF"/>
    <w:rsid w:val="007B4305"/>
    <w:rsid w:val="007B4BF5"/>
    <w:rsid w:val="007B4CA1"/>
    <w:rsid w:val="007B5FBF"/>
    <w:rsid w:val="007B6278"/>
    <w:rsid w:val="007B640C"/>
    <w:rsid w:val="007B6F01"/>
    <w:rsid w:val="007B746F"/>
    <w:rsid w:val="007B74E7"/>
    <w:rsid w:val="007B765F"/>
    <w:rsid w:val="007B7809"/>
    <w:rsid w:val="007C0371"/>
    <w:rsid w:val="007C0383"/>
    <w:rsid w:val="007C061C"/>
    <w:rsid w:val="007C1424"/>
    <w:rsid w:val="007C1426"/>
    <w:rsid w:val="007C1627"/>
    <w:rsid w:val="007C1C0D"/>
    <w:rsid w:val="007C20BC"/>
    <w:rsid w:val="007C20D7"/>
    <w:rsid w:val="007C210A"/>
    <w:rsid w:val="007C278F"/>
    <w:rsid w:val="007C27CC"/>
    <w:rsid w:val="007C2919"/>
    <w:rsid w:val="007C35DB"/>
    <w:rsid w:val="007C3E02"/>
    <w:rsid w:val="007C4063"/>
    <w:rsid w:val="007C41D5"/>
    <w:rsid w:val="007C4443"/>
    <w:rsid w:val="007C453B"/>
    <w:rsid w:val="007C4B35"/>
    <w:rsid w:val="007C4B7C"/>
    <w:rsid w:val="007C4D38"/>
    <w:rsid w:val="007C5363"/>
    <w:rsid w:val="007C64A4"/>
    <w:rsid w:val="007C6532"/>
    <w:rsid w:val="007C6575"/>
    <w:rsid w:val="007C681F"/>
    <w:rsid w:val="007C6D11"/>
    <w:rsid w:val="007C7614"/>
    <w:rsid w:val="007C79B6"/>
    <w:rsid w:val="007D0401"/>
    <w:rsid w:val="007D0AF7"/>
    <w:rsid w:val="007D0B4E"/>
    <w:rsid w:val="007D106C"/>
    <w:rsid w:val="007D2238"/>
    <w:rsid w:val="007D2538"/>
    <w:rsid w:val="007D2F93"/>
    <w:rsid w:val="007D40C9"/>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6FE"/>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19F5"/>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D54"/>
    <w:rsid w:val="00817FB5"/>
    <w:rsid w:val="00820222"/>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3F83"/>
    <w:rsid w:val="008341C1"/>
    <w:rsid w:val="008344D8"/>
    <w:rsid w:val="00834B09"/>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A2E"/>
    <w:rsid w:val="00856F84"/>
    <w:rsid w:val="00857089"/>
    <w:rsid w:val="008570AD"/>
    <w:rsid w:val="008575DD"/>
    <w:rsid w:val="0085797D"/>
    <w:rsid w:val="00860117"/>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5DE"/>
    <w:rsid w:val="00892719"/>
    <w:rsid w:val="00892A7A"/>
    <w:rsid w:val="0089313F"/>
    <w:rsid w:val="008933AC"/>
    <w:rsid w:val="008937D2"/>
    <w:rsid w:val="00893A76"/>
    <w:rsid w:val="00893CA5"/>
    <w:rsid w:val="00893E42"/>
    <w:rsid w:val="0089473B"/>
    <w:rsid w:val="0089481B"/>
    <w:rsid w:val="00894F0C"/>
    <w:rsid w:val="00895259"/>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BC6"/>
    <w:rsid w:val="008A1FE6"/>
    <w:rsid w:val="008A2D6E"/>
    <w:rsid w:val="008A2E74"/>
    <w:rsid w:val="008A3526"/>
    <w:rsid w:val="008A36BD"/>
    <w:rsid w:val="008A3740"/>
    <w:rsid w:val="008A42F6"/>
    <w:rsid w:val="008A48E5"/>
    <w:rsid w:val="008A4A1B"/>
    <w:rsid w:val="008A53CA"/>
    <w:rsid w:val="008A5554"/>
    <w:rsid w:val="008A55D6"/>
    <w:rsid w:val="008A5A2D"/>
    <w:rsid w:val="008A5BE6"/>
    <w:rsid w:val="008A5EE0"/>
    <w:rsid w:val="008A6032"/>
    <w:rsid w:val="008A608B"/>
    <w:rsid w:val="008A6840"/>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C8B"/>
    <w:rsid w:val="008B4DAC"/>
    <w:rsid w:val="008B51B0"/>
    <w:rsid w:val="008B58FD"/>
    <w:rsid w:val="008B5DCA"/>
    <w:rsid w:val="008B60CC"/>
    <w:rsid w:val="008B61D2"/>
    <w:rsid w:val="008B6CB4"/>
    <w:rsid w:val="008B74AF"/>
    <w:rsid w:val="008B75E6"/>
    <w:rsid w:val="008B7831"/>
    <w:rsid w:val="008B787C"/>
    <w:rsid w:val="008B7889"/>
    <w:rsid w:val="008B7A33"/>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97"/>
    <w:rsid w:val="008C20A9"/>
    <w:rsid w:val="008C23B2"/>
    <w:rsid w:val="008C2507"/>
    <w:rsid w:val="008C25F2"/>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6BA1"/>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550"/>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161"/>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9F5"/>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62F1"/>
    <w:rsid w:val="0090646F"/>
    <w:rsid w:val="0090684C"/>
    <w:rsid w:val="00906FD6"/>
    <w:rsid w:val="009070D1"/>
    <w:rsid w:val="00907222"/>
    <w:rsid w:val="0090740A"/>
    <w:rsid w:val="00907BDD"/>
    <w:rsid w:val="009103ED"/>
    <w:rsid w:val="009104FB"/>
    <w:rsid w:val="009106B1"/>
    <w:rsid w:val="009109EB"/>
    <w:rsid w:val="00911298"/>
    <w:rsid w:val="00911BCB"/>
    <w:rsid w:val="00911D9E"/>
    <w:rsid w:val="00911E3B"/>
    <w:rsid w:val="00912F71"/>
    <w:rsid w:val="00913254"/>
    <w:rsid w:val="00913441"/>
    <w:rsid w:val="00913753"/>
    <w:rsid w:val="009142E4"/>
    <w:rsid w:val="00914395"/>
    <w:rsid w:val="0091477A"/>
    <w:rsid w:val="00914820"/>
    <w:rsid w:val="0091495D"/>
    <w:rsid w:val="00914B8E"/>
    <w:rsid w:val="00914C25"/>
    <w:rsid w:val="0091548C"/>
    <w:rsid w:val="009155AB"/>
    <w:rsid w:val="00915749"/>
    <w:rsid w:val="00915AD4"/>
    <w:rsid w:val="00915F46"/>
    <w:rsid w:val="00915FB0"/>
    <w:rsid w:val="00916162"/>
    <w:rsid w:val="00916AA2"/>
    <w:rsid w:val="00916BB1"/>
    <w:rsid w:val="00916C94"/>
    <w:rsid w:val="00916F7D"/>
    <w:rsid w:val="00917134"/>
    <w:rsid w:val="00917B64"/>
    <w:rsid w:val="00917BCE"/>
    <w:rsid w:val="00920248"/>
    <w:rsid w:val="00920364"/>
    <w:rsid w:val="00920CE3"/>
    <w:rsid w:val="0092111D"/>
    <w:rsid w:val="00921383"/>
    <w:rsid w:val="00921774"/>
    <w:rsid w:val="00921879"/>
    <w:rsid w:val="009218C4"/>
    <w:rsid w:val="00921AA8"/>
    <w:rsid w:val="00921C34"/>
    <w:rsid w:val="00921E9A"/>
    <w:rsid w:val="00921EF4"/>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D18"/>
    <w:rsid w:val="00933EF5"/>
    <w:rsid w:val="0093417D"/>
    <w:rsid w:val="00934191"/>
    <w:rsid w:val="00934730"/>
    <w:rsid w:val="00934B0A"/>
    <w:rsid w:val="00935536"/>
    <w:rsid w:val="00935565"/>
    <w:rsid w:val="0093573F"/>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13DA"/>
    <w:rsid w:val="009515FE"/>
    <w:rsid w:val="00951BD9"/>
    <w:rsid w:val="00952315"/>
    <w:rsid w:val="00952949"/>
    <w:rsid w:val="00952BA2"/>
    <w:rsid w:val="00952BCC"/>
    <w:rsid w:val="00952CD3"/>
    <w:rsid w:val="009531FB"/>
    <w:rsid w:val="009536BD"/>
    <w:rsid w:val="00953BCE"/>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A9D"/>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35C9"/>
    <w:rsid w:val="0096361A"/>
    <w:rsid w:val="0096398D"/>
    <w:rsid w:val="00963CCF"/>
    <w:rsid w:val="00963FD0"/>
    <w:rsid w:val="009646C5"/>
    <w:rsid w:val="00965095"/>
    <w:rsid w:val="00965548"/>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292"/>
    <w:rsid w:val="0097777F"/>
    <w:rsid w:val="00977AA4"/>
    <w:rsid w:val="009809EC"/>
    <w:rsid w:val="00980A63"/>
    <w:rsid w:val="00980D0B"/>
    <w:rsid w:val="00981077"/>
    <w:rsid w:val="00981441"/>
    <w:rsid w:val="0098171B"/>
    <w:rsid w:val="009821B2"/>
    <w:rsid w:val="00982BE8"/>
    <w:rsid w:val="00982DEB"/>
    <w:rsid w:val="00983246"/>
    <w:rsid w:val="0098351D"/>
    <w:rsid w:val="00983B02"/>
    <w:rsid w:val="00983C1C"/>
    <w:rsid w:val="00983F69"/>
    <w:rsid w:val="009843B9"/>
    <w:rsid w:val="0098492D"/>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97BB4"/>
    <w:rsid w:val="009A0351"/>
    <w:rsid w:val="009A0431"/>
    <w:rsid w:val="009A0498"/>
    <w:rsid w:val="009A0AEE"/>
    <w:rsid w:val="009A0AEF"/>
    <w:rsid w:val="009A0EC7"/>
    <w:rsid w:val="009A10CA"/>
    <w:rsid w:val="009A11EB"/>
    <w:rsid w:val="009A13E5"/>
    <w:rsid w:val="009A1773"/>
    <w:rsid w:val="009A17C9"/>
    <w:rsid w:val="009A1984"/>
    <w:rsid w:val="009A1CD2"/>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231"/>
    <w:rsid w:val="009A65D2"/>
    <w:rsid w:val="009A66FC"/>
    <w:rsid w:val="009A683E"/>
    <w:rsid w:val="009A796F"/>
    <w:rsid w:val="009A7A31"/>
    <w:rsid w:val="009A7AA9"/>
    <w:rsid w:val="009A7CBD"/>
    <w:rsid w:val="009A7F00"/>
    <w:rsid w:val="009B118C"/>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0A2"/>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A2E"/>
    <w:rsid w:val="009D2BA6"/>
    <w:rsid w:val="009D303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48A"/>
    <w:rsid w:val="009D7718"/>
    <w:rsid w:val="009D7C74"/>
    <w:rsid w:val="009E069B"/>
    <w:rsid w:val="009E19DE"/>
    <w:rsid w:val="009E20BA"/>
    <w:rsid w:val="009E21BA"/>
    <w:rsid w:val="009E2A6C"/>
    <w:rsid w:val="009E2DF8"/>
    <w:rsid w:val="009E2F80"/>
    <w:rsid w:val="009E2FBD"/>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076"/>
    <w:rsid w:val="009F11E2"/>
    <w:rsid w:val="009F1E46"/>
    <w:rsid w:val="009F224F"/>
    <w:rsid w:val="009F277F"/>
    <w:rsid w:val="009F2D5C"/>
    <w:rsid w:val="009F304B"/>
    <w:rsid w:val="009F3E02"/>
    <w:rsid w:val="009F46C5"/>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45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7C4"/>
    <w:rsid w:val="00A227C7"/>
    <w:rsid w:val="00A22AED"/>
    <w:rsid w:val="00A22D11"/>
    <w:rsid w:val="00A22EBC"/>
    <w:rsid w:val="00A2405B"/>
    <w:rsid w:val="00A2409B"/>
    <w:rsid w:val="00A24780"/>
    <w:rsid w:val="00A24906"/>
    <w:rsid w:val="00A2495F"/>
    <w:rsid w:val="00A24D6F"/>
    <w:rsid w:val="00A24E35"/>
    <w:rsid w:val="00A24EC5"/>
    <w:rsid w:val="00A25006"/>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78"/>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3DA"/>
    <w:rsid w:val="00A47B24"/>
    <w:rsid w:val="00A47D66"/>
    <w:rsid w:val="00A5008C"/>
    <w:rsid w:val="00A50175"/>
    <w:rsid w:val="00A50AA9"/>
    <w:rsid w:val="00A50D27"/>
    <w:rsid w:val="00A517E8"/>
    <w:rsid w:val="00A51BB3"/>
    <w:rsid w:val="00A51FBD"/>
    <w:rsid w:val="00A51FD4"/>
    <w:rsid w:val="00A525BC"/>
    <w:rsid w:val="00A525C0"/>
    <w:rsid w:val="00A52E03"/>
    <w:rsid w:val="00A53885"/>
    <w:rsid w:val="00A54027"/>
    <w:rsid w:val="00A54588"/>
    <w:rsid w:val="00A54ABE"/>
    <w:rsid w:val="00A556ED"/>
    <w:rsid w:val="00A55EF5"/>
    <w:rsid w:val="00A55F10"/>
    <w:rsid w:val="00A5620F"/>
    <w:rsid w:val="00A56304"/>
    <w:rsid w:val="00A56311"/>
    <w:rsid w:val="00A5672D"/>
    <w:rsid w:val="00A56A51"/>
    <w:rsid w:val="00A56CF1"/>
    <w:rsid w:val="00A5701B"/>
    <w:rsid w:val="00A57478"/>
    <w:rsid w:val="00A57703"/>
    <w:rsid w:val="00A57AFA"/>
    <w:rsid w:val="00A57B7A"/>
    <w:rsid w:val="00A57DF2"/>
    <w:rsid w:val="00A604E8"/>
    <w:rsid w:val="00A6074E"/>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5E74"/>
    <w:rsid w:val="00A661E9"/>
    <w:rsid w:val="00A66397"/>
    <w:rsid w:val="00A663A7"/>
    <w:rsid w:val="00A66A34"/>
    <w:rsid w:val="00A66DBE"/>
    <w:rsid w:val="00A66E78"/>
    <w:rsid w:val="00A670D8"/>
    <w:rsid w:val="00A671CD"/>
    <w:rsid w:val="00A67DB0"/>
    <w:rsid w:val="00A67F5B"/>
    <w:rsid w:val="00A7016F"/>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1D"/>
    <w:rsid w:val="00A74688"/>
    <w:rsid w:val="00A74AC8"/>
    <w:rsid w:val="00A74D55"/>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B13"/>
    <w:rsid w:val="00A84E8A"/>
    <w:rsid w:val="00A852B8"/>
    <w:rsid w:val="00A85462"/>
    <w:rsid w:val="00A85823"/>
    <w:rsid w:val="00A85991"/>
    <w:rsid w:val="00A86A7A"/>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103"/>
    <w:rsid w:val="00A96271"/>
    <w:rsid w:val="00A96FB8"/>
    <w:rsid w:val="00A972FB"/>
    <w:rsid w:val="00A979BF"/>
    <w:rsid w:val="00A97B38"/>
    <w:rsid w:val="00AA001F"/>
    <w:rsid w:val="00AA0436"/>
    <w:rsid w:val="00AA0D91"/>
    <w:rsid w:val="00AA0F3F"/>
    <w:rsid w:val="00AA1021"/>
    <w:rsid w:val="00AA1A1D"/>
    <w:rsid w:val="00AA1E3E"/>
    <w:rsid w:val="00AA1F8C"/>
    <w:rsid w:val="00AA28D6"/>
    <w:rsid w:val="00AA294B"/>
    <w:rsid w:val="00AA29C4"/>
    <w:rsid w:val="00AA2CF5"/>
    <w:rsid w:val="00AA313E"/>
    <w:rsid w:val="00AA3220"/>
    <w:rsid w:val="00AA3293"/>
    <w:rsid w:val="00AA334E"/>
    <w:rsid w:val="00AA3537"/>
    <w:rsid w:val="00AA356B"/>
    <w:rsid w:val="00AA361A"/>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6F44"/>
    <w:rsid w:val="00AA711C"/>
    <w:rsid w:val="00AA73D8"/>
    <w:rsid w:val="00AA75AF"/>
    <w:rsid w:val="00AA79A4"/>
    <w:rsid w:val="00AA7A7A"/>
    <w:rsid w:val="00AA7CB1"/>
    <w:rsid w:val="00AA7D80"/>
    <w:rsid w:val="00AA7FBD"/>
    <w:rsid w:val="00AB003A"/>
    <w:rsid w:val="00AB0166"/>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5777"/>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7B3"/>
    <w:rsid w:val="00AC485B"/>
    <w:rsid w:val="00AC5539"/>
    <w:rsid w:val="00AC553A"/>
    <w:rsid w:val="00AC5609"/>
    <w:rsid w:val="00AC56FB"/>
    <w:rsid w:val="00AC5A64"/>
    <w:rsid w:val="00AC5BFD"/>
    <w:rsid w:val="00AC600F"/>
    <w:rsid w:val="00AC60B4"/>
    <w:rsid w:val="00AC6229"/>
    <w:rsid w:val="00AC655F"/>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3"/>
    <w:rsid w:val="00AD177C"/>
    <w:rsid w:val="00AD183C"/>
    <w:rsid w:val="00AD186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992"/>
    <w:rsid w:val="00AF0C2F"/>
    <w:rsid w:val="00AF0D89"/>
    <w:rsid w:val="00AF0ED6"/>
    <w:rsid w:val="00AF0F94"/>
    <w:rsid w:val="00AF1228"/>
    <w:rsid w:val="00AF135E"/>
    <w:rsid w:val="00AF1905"/>
    <w:rsid w:val="00AF292B"/>
    <w:rsid w:val="00AF2A14"/>
    <w:rsid w:val="00AF2BB4"/>
    <w:rsid w:val="00AF3335"/>
    <w:rsid w:val="00AF3588"/>
    <w:rsid w:val="00AF3A84"/>
    <w:rsid w:val="00AF3DED"/>
    <w:rsid w:val="00AF4183"/>
    <w:rsid w:val="00AF43AD"/>
    <w:rsid w:val="00AF470B"/>
    <w:rsid w:val="00AF4A79"/>
    <w:rsid w:val="00AF4AA6"/>
    <w:rsid w:val="00AF4D88"/>
    <w:rsid w:val="00AF4DCB"/>
    <w:rsid w:val="00AF4F7F"/>
    <w:rsid w:val="00AF539F"/>
    <w:rsid w:val="00AF59E1"/>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0FA"/>
    <w:rsid w:val="00B04845"/>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3F07"/>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0A50"/>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B3"/>
    <w:rsid w:val="00B42583"/>
    <w:rsid w:val="00B42636"/>
    <w:rsid w:val="00B42B6B"/>
    <w:rsid w:val="00B42E79"/>
    <w:rsid w:val="00B43CFE"/>
    <w:rsid w:val="00B444E1"/>
    <w:rsid w:val="00B44873"/>
    <w:rsid w:val="00B44B9F"/>
    <w:rsid w:val="00B45357"/>
    <w:rsid w:val="00B4565A"/>
    <w:rsid w:val="00B45896"/>
    <w:rsid w:val="00B45D5E"/>
    <w:rsid w:val="00B45E5F"/>
    <w:rsid w:val="00B46015"/>
    <w:rsid w:val="00B46221"/>
    <w:rsid w:val="00B46512"/>
    <w:rsid w:val="00B46820"/>
    <w:rsid w:val="00B46AD8"/>
    <w:rsid w:val="00B46E60"/>
    <w:rsid w:val="00B46EB4"/>
    <w:rsid w:val="00B4747F"/>
    <w:rsid w:val="00B476B5"/>
    <w:rsid w:val="00B50347"/>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554"/>
    <w:rsid w:val="00B5766B"/>
    <w:rsid w:val="00B604AF"/>
    <w:rsid w:val="00B609B5"/>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0D8"/>
    <w:rsid w:val="00B66719"/>
    <w:rsid w:val="00B66786"/>
    <w:rsid w:val="00B66961"/>
    <w:rsid w:val="00B66C51"/>
    <w:rsid w:val="00B66E58"/>
    <w:rsid w:val="00B67260"/>
    <w:rsid w:val="00B678F8"/>
    <w:rsid w:val="00B67F57"/>
    <w:rsid w:val="00B7023B"/>
    <w:rsid w:val="00B70AF3"/>
    <w:rsid w:val="00B7126F"/>
    <w:rsid w:val="00B7154D"/>
    <w:rsid w:val="00B71A8E"/>
    <w:rsid w:val="00B71BA9"/>
    <w:rsid w:val="00B72222"/>
    <w:rsid w:val="00B72C1E"/>
    <w:rsid w:val="00B72F75"/>
    <w:rsid w:val="00B7318E"/>
    <w:rsid w:val="00B738E5"/>
    <w:rsid w:val="00B739E6"/>
    <w:rsid w:val="00B7480C"/>
    <w:rsid w:val="00B74B24"/>
    <w:rsid w:val="00B74D6F"/>
    <w:rsid w:val="00B75323"/>
    <w:rsid w:val="00B755A7"/>
    <w:rsid w:val="00B76A54"/>
    <w:rsid w:val="00B76DCF"/>
    <w:rsid w:val="00B77031"/>
    <w:rsid w:val="00B7715A"/>
    <w:rsid w:val="00B772DC"/>
    <w:rsid w:val="00B773E0"/>
    <w:rsid w:val="00B775DD"/>
    <w:rsid w:val="00B77C14"/>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45A"/>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6C7"/>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74F"/>
    <w:rsid w:val="00BC4BA9"/>
    <w:rsid w:val="00BC5C51"/>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578"/>
    <w:rsid w:val="00BD48B7"/>
    <w:rsid w:val="00BD4A94"/>
    <w:rsid w:val="00BD4ABE"/>
    <w:rsid w:val="00BD55BF"/>
    <w:rsid w:val="00BD5A35"/>
    <w:rsid w:val="00BD5B0A"/>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C74"/>
    <w:rsid w:val="00C15D60"/>
    <w:rsid w:val="00C15DA2"/>
    <w:rsid w:val="00C15DF1"/>
    <w:rsid w:val="00C15EA1"/>
    <w:rsid w:val="00C16120"/>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592"/>
    <w:rsid w:val="00C24A7B"/>
    <w:rsid w:val="00C24E83"/>
    <w:rsid w:val="00C24F65"/>
    <w:rsid w:val="00C25031"/>
    <w:rsid w:val="00C25768"/>
    <w:rsid w:val="00C25BB9"/>
    <w:rsid w:val="00C25DFD"/>
    <w:rsid w:val="00C25F29"/>
    <w:rsid w:val="00C25F4C"/>
    <w:rsid w:val="00C25F9B"/>
    <w:rsid w:val="00C25FE3"/>
    <w:rsid w:val="00C260C2"/>
    <w:rsid w:val="00C26689"/>
    <w:rsid w:val="00C269A1"/>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2C88"/>
    <w:rsid w:val="00C33067"/>
    <w:rsid w:val="00C331C3"/>
    <w:rsid w:val="00C34574"/>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87C"/>
    <w:rsid w:val="00C42D5C"/>
    <w:rsid w:val="00C43F3E"/>
    <w:rsid w:val="00C44086"/>
    <w:rsid w:val="00C4412E"/>
    <w:rsid w:val="00C445B9"/>
    <w:rsid w:val="00C449E2"/>
    <w:rsid w:val="00C44A89"/>
    <w:rsid w:val="00C44C38"/>
    <w:rsid w:val="00C45388"/>
    <w:rsid w:val="00C45AD8"/>
    <w:rsid w:val="00C462FC"/>
    <w:rsid w:val="00C464FA"/>
    <w:rsid w:val="00C46A24"/>
    <w:rsid w:val="00C46C6B"/>
    <w:rsid w:val="00C46E0A"/>
    <w:rsid w:val="00C46E5F"/>
    <w:rsid w:val="00C46FFA"/>
    <w:rsid w:val="00C471FC"/>
    <w:rsid w:val="00C4776A"/>
    <w:rsid w:val="00C47BCF"/>
    <w:rsid w:val="00C47D8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0AA"/>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317"/>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BE6"/>
    <w:rsid w:val="00C721FF"/>
    <w:rsid w:val="00C72D48"/>
    <w:rsid w:val="00C73AA8"/>
    <w:rsid w:val="00C743ED"/>
    <w:rsid w:val="00C74441"/>
    <w:rsid w:val="00C74508"/>
    <w:rsid w:val="00C7483D"/>
    <w:rsid w:val="00C74B01"/>
    <w:rsid w:val="00C74BFC"/>
    <w:rsid w:val="00C75525"/>
    <w:rsid w:val="00C75ED1"/>
    <w:rsid w:val="00C760DD"/>
    <w:rsid w:val="00C76BF7"/>
    <w:rsid w:val="00C77B24"/>
    <w:rsid w:val="00C77E9B"/>
    <w:rsid w:val="00C8060F"/>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3C7"/>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4A0"/>
    <w:rsid w:val="00CB1ACF"/>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EBB"/>
    <w:rsid w:val="00CB6211"/>
    <w:rsid w:val="00CB648D"/>
    <w:rsid w:val="00CB6538"/>
    <w:rsid w:val="00CB67C2"/>
    <w:rsid w:val="00CB694B"/>
    <w:rsid w:val="00CB6C40"/>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AFC"/>
    <w:rsid w:val="00CD7B6F"/>
    <w:rsid w:val="00CE0234"/>
    <w:rsid w:val="00CE0441"/>
    <w:rsid w:val="00CE04B7"/>
    <w:rsid w:val="00CE0A41"/>
    <w:rsid w:val="00CE0AD8"/>
    <w:rsid w:val="00CE17B7"/>
    <w:rsid w:val="00CE1C7B"/>
    <w:rsid w:val="00CE2644"/>
    <w:rsid w:val="00CE41E8"/>
    <w:rsid w:val="00CE4296"/>
    <w:rsid w:val="00CE4BB6"/>
    <w:rsid w:val="00CE574D"/>
    <w:rsid w:val="00CE5948"/>
    <w:rsid w:val="00CE61F5"/>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12"/>
    <w:rsid w:val="00CF6CBC"/>
    <w:rsid w:val="00CF6D27"/>
    <w:rsid w:val="00CF6D64"/>
    <w:rsid w:val="00CF70CC"/>
    <w:rsid w:val="00CF73FD"/>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C57"/>
    <w:rsid w:val="00D16E64"/>
    <w:rsid w:val="00D17072"/>
    <w:rsid w:val="00D170A0"/>
    <w:rsid w:val="00D1737B"/>
    <w:rsid w:val="00D177C9"/>
    <w:rsid w:val="00D17BDA"/>
    <w:rsid w:val="00D19AB0"/>
    <w:rsid w:val="00D20449"/>
    <w:rsid w:val="00D20C64"/>
    <w:rsid w:val="00D20E30"/>
    <w:rsid w:val="00D2146F"/>
    <w:rsid w:val="00D22753"/>
    <w:rsid w:val="00D22860"/>
    <w:rsid w:val="00D2339D"/>
    <w:rsid w:val="00D23413"/>
    <w:rsid w:val="00D23ACD"/>
    <w:rsid w:val="00D24468"/>
    <w:rsid w:val="00D248D7"/>
    <w:rsid w:val="00D24D75"/>
    <w:rsid w:val="00D254C6"/>
    <w:rsid w:val="00D25507"/>
    <w:rsid w:val="00D258E7"/>
    <w:rsid w:val="00D2613B"/>
    <w:rsid w:val="00D261A6"/>
    <w:rsid w:val="00D26313"/>
    <w:rsid w:val="00D263B6"/>
    <w:rsid w:val="00D267D4"/>
    <w:rsid w:val="00D26A50"/>
    <w:rsid w:val="00D26A99"/>
    <w:rsid w:val="00D2770A"/>
    <w:rsid w:val="00D27988"/>
    <w:rsid w:val="00D27E90"/>
    <w:rsid w:val="00D301BE"/>
    <w:rsid w:val="00D30FD2"/>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61E"/>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1F"/>
    <w:rsid w:val="00D456E3"/>
    <w:rsid w:val="00D45713"/>
    <w:rsid w:val="00D458EF"/>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A45"/>
    <w:rsid w:val="00D73AD5"/>
    <w:rsid w:val="00D7401C"/>
    <w:rsid w:val="00D740D4"/>
    <w:rsid w:val="00D7432C"/>
    <w:rsid w:val="00D74A45"/>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12C"/>
    <w:rsid w:val="00D8581B"/>
    <w:rsid w:val="00D859BE"/>
    <w:rsid w:val="00D85B56"/>
    <w:rsid w:val="00D862E5"/>
    <w:rsid w:val="00D86705"/>
    <w:rsid w:val="00D86D85"/>
    <w:rsid w:val="00D86FD2"/>
    <w:rsid w:val="00D8752F"/>
    <w:rsid w:val="00D87751"/>
    <w:rsid w:val="00D87C3F"/>
    <w:rsid w:val="00D90344"/>
    <w:rsid w:val="00D906CE"/>
    <w:rsid w:val="00D908E6"/>
    <w:rsid w:val="00D909D3"/>
    <w:rsid w:val="00D90AFB"/>
    <w:rsid w:val="00D90CF9"/>
    <w:rsid w:val="00D90D16"/>
    <w:rsid w:val="00D90D71"/>
    <w:rsid w:val="00D90EC0"/>
    <w:rsid w:val="00D91788"/>
    <w:rsid w:val="00D91936"/>
    <w:rsid w:val="00D91CF1"/>
    <w:rsid w:val="00D91F27"/>
    <w:rsid w:val="00D92020"/>
    <w:rsid w:val="00D920E6"/>
    <w:rsid w:val="00D92934"/>
    <w:rsid w:val="00D92990"/>
    <w:rsid w:val="00D92AE4"/>
    <w:rsid w:val="00D92C93"/>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CDF"/>
    <w:rsid w:val="00DA4D85"/>
    <w:rsid w:val="00DA4FCE"/>
    <w:rsid w:val="00DA57EB"/>
    <w:rsid w:val="00DA5DC2"/>
    <w:rsid w:val="00DA5E94"/>
    <w:rsid w:val="00DA6220"/>
    <w:rsid w:val="00DA6476"/>
    <w:rsid w:val="00DA6664"/>
    <w:rsid w:val="00DA6CFD"/>
    <w:rsid w:val="00DA7100"/>
    <w:rsid w:val="00DA774A"/>
    <w:rsid w:val="00DA7EB2"/>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4C0"/>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5F8"/>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2F39"/>
    <w:rsid w:val="00DE303C"/>
    <w:rsid w:val="00DE3194"/>
    <w:rsid w:val="00DE31C2"/>
    <w:rsid w:val="00DE3241"/>
    <w:rsid w:val="00DE36CA"/>
    <w:rsid w:val="00DE379D"/>
    <w:rsid w:val="00DE4045"/>
    <w:rsid w:val="00DE42EA"/>
    <w:rsid w:val="00DE4E79"/>
    <w:rsid w:val="00DE4FCC"/>
    <w:rsid w:val="00DE50F7"/>
    <w:rsid w:val="00DE51BF"/>
    <w:rsid w:val="00DE51F4"/>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04"/>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595"/>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279"/>
    <w:rsid w:val="00E17483"/>
    <w:rsid w:val="00E174C3"/>
    <w:rsid w:val="00E17E54"/>
    <w:rsid w:val="00E209BA"/>
    <w:rsid w:val="00E20A77"/>
    <w:rsid w:val="00E2101E"/>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6D7"/>
    <w:rsid w:val="00E2795F"/>
    <w:rsid w:val="00E27B9A"/>
    <w:rsid w:val="00E27F9D"/>
    <w:rsid w:val="00E302D6"/>
    <w:rsid w:val="00E3104F"/>
    <w:rsid w:val="00E31160"/>
    <w:rsid w:val="00E31857"/>
    <w:rsid w:val="00E31FB3"/>
    <w:rsid w:val="00E3202B"/>
    <w:rsid w:val="00E32376"/>
    <w:rsid w:val="00E3248A"/>
    <w:rsid w:val="00E32615"/>
    <w:rsid w:val="00E32846"/>
    <w:rsid w:val="00E329D5"/>
    <w:rsid w:val="00E32C07"/>
    <w:rsid w:val="00E32EBB"/>
    <w:rsid w:val="00E32F3C"/>
    <w:rsid w:val="00E32FBA"/>
    <w:rsid w:val="00E3305E"/>
    <w:rsid w:val="00E33446"/>
    <w:rsid w:val="00E334EF"/>
    <w:rsid w:val="00E337D2"/>
    <w:rsid w:val="00E33DCB"/>
    <w:rsid w:val="00E34250"/>
    <w:rsid w:val="00E343F5"/>
    <w:rsid w:val="00E34631"/>
    <w:rsid w:val="00E34873"/>
    <w:rsid w:val="00E34A82"/>
    <w:rsid w:val="00E34EC6"/>
    <w:rsid w:val="00E35885"/>
    <w:rsid w:val="00E35967"/>
    <w:rsid w:val="00E36144"/>
    <w:rsid w:val="00E366B2"/>
    <w:rsid w:val="00E3697F"/>
    <w:rsid w:val="00E3720D"/>
    <w:rsid w:val="00E3758A"/>
    <w:rsid w:val="00E4005D"/>
    <w:rsid w:val="00E4083F"/>
    <w:rsid w:val="00E4086B"/>
    <w:rsid w:val="00E40BD2"/>
    <w:rsid w:val="00E40C58"/>
    <w:rsid w:val="00E40D5C"/>
    <w:rsid w:val="00E41C57"/>
    <w:rsid w:val="00E41DE1"/>
    <w:rsid w:val="00E42063"/>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BC"/>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2CD"/>
    <w:rsid w:val="00E707F4"/>
    <w:rsid w:val="00E70899"/>
    <w:rsid w:val="00E7093C"/>
    <w:rsid w:val="00E70948"/>
    <w:rsid w:val="00E70B0E"/>
    <w:rsid w:val="00E70B51"/>
    <w:rsid w:val="00E70E1E"/>
    <w:rsid w:val="00E71371"/>
    <w:rsid w:val="00E7153A"/>
    <w:rsid w:val="00E7195F"/>
    <w:rsid w:val="00E71DF0"/>
    <w:rsid w:val="00E720F2"/>
    <w:rsid w:val="00E723EC"/>
    <w:rsid w:val="00E72440"/>
    <w:rsid w:val="00E726B2"/>
    <w:rsid w:val="00E727E3"/>
    <w:rsid w:val="00E730DB"/>
    <w:rsid w:val="00E7311D"/>
    <w:rsid w:val="00E7317A"/>
    <w:rsid w:val="00E73B1C"/>
    <w:rsid w:val="00E73E28"/>
    <w:rsid w:val="00E740FD"/>
    <w:rsid w:val="00E742E6"/>
    <w:rsid w:val="00E74317"/>
    <w:rsid w:val="00E74959"/>
    <w:rsid w:val="00E74A0B"/>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0B6D"/>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19E"/>
    <w:rsid w:val="00EA4394"/>
    <w:rsid w:val="00EA4431"/>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C9E"/>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D7F5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614C"/>
    <w:rsid w:val="00EE73A9"/>
    <w:rsid w:val="00EE768C"/>
    <w:rsid w:val="00EF01E8"/>
    <w:rsid w:val="00EF024C"/>
    <w:rsid w:val="00EF08A5"/>
    <w:rsid w:val="00EF0A2D"/>
    <w:rsid w:val="00EF2038"/>
    <w:rsid w:val="00EF2274"/>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180"/>
    <w:rsid w:val="00F0520D"/>
    <w:rsid w:val="00F05AD2"/>
    <w:rsid w:val="00F05E19"/>
    <w:rsid w:val="00F0612E"/>
    <w:rsid w:val="00F0631F"/>
    <w:rsid w:val="00F065F6"/>
    <w:rsid w:val="00F06709"/>
    <w:rsid w:val="00F07A12"/>
    <w:rsid w:val="00F07F78"/>
    <w:rsid w:val="00F10483"/>
    <w:rsid w:val="00F1084C"/>
    <w:rsid w:val="00F1085E"/>
    <w:rsid w:val="00F1089D"/>
    <w:rsid w:val="00F10DC5"/>
    <w:rsid w:val="00F11008"/>
    <w:rsid w:val="00F1105A"/>
    <w:rsid w:val="00F1197D"/>
    <w:rsid w:val="00F11B05"/>
    <w:rsid w:val="00F11B49"/>
    <w:rsid w:val="00F11C38"/>
    <w:rsid w:val="00F11CED"/>
    <w:rsid w:val="00F121ED"/>
    <w:rsid w:val="00F12253"/>
    <w:rsid w:val="00F12864"/>
    <w:rsid w:val="00F13042"/>
    <w:rsid w:val="00F13A7D"/>
    <w:rsid w:val="00F14005"/>
    <w:rsid w:val="00F1415C"/>
    <w:rsid w:val="00F147D5"/>
    <w:rsid w:val="00F149D6"/>
    <w:rsid w:val="00F14E12"/>
    <w:rsid w:val="00F15071"/>
    <w:rsid w:val="00F156B9"/>
    <w:rsid w:val="00F15B36"/>
    <w:rsid w:val="00F15BFE"/>
    <w:rsid w:val="00F1614A"/>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391"/>
    <w:rsid w:val="00F223F2"/>
    <w:rsid w:val="00F22A1A"/>
    <w:rsid w:val="00F22BAE"/>
    <w:rsid w:val="00F2323F"/>
    <w:rsid w:val="00F234E3"/>
    <w:rsid w:val="00F2363D"/>
    <w:rsid w:val="00F238EB"/>
    <w:rsid w:val="00F23DBF"/>
    <w:rsid w:val="00F23F4E"/>
    <w:rsid w:val="00F23FD5"/>
    <w:rsid w:val="00F2433E"/>
    <w:rsid w:val="00F2473F"/>
    <w:rsid w:val="00F24916"/>
    <w:rsid w:val="00F24A18"/>
    <w:rsid w:val="00F24C94"/>
    <w:rsid w:val="00F2565D"/>
    <w:rsid w:val="00F25B88"/>
    <w:rsid w:val="00F2625F"/>
    <w:rsid w:val="00F2641A"/>
    <w:rsid w:val="00F26EB5"/>
    <w:rsid w:val="00F272E9"/>
    <w:rsid w:val="00F273D3"/>
    <w:rsid w:val="00F303F9"/>
    <w:rsid w:val="00F310C5"/>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0D97"/>
    <w:rsid w:val="00F410D6"/>
    <w:rsid w:val="00F41852"/>
    <w:rsid w:val="00F41CC6"/>
    <w:rsid w:val="00F4231A"/>
    <w:rsid w:val="00F4253B"/>
    <w:rsid w:val="00F436CE"/>
    <w:rsid w:val="00F437A4"/>
    <w:rsid w:val="00F437EC"/>
    <w:rsid w:val="00F43AE7"/>
    <w:rsid w:val="00F43C3F"/>
    <w:rsid w:val="00F44156"/>
    <w:rsid w:val="00F4445B"/>
    <w:rsid w:val="00F4487C"/>
    <w:rsid w:val="00F44D0E"/>
    <w:rsid w:val="00F44DD6"/>
    <w:rsid w:val="00F44EEB"/>
    <w:rsid w:val="00F454FC"/>
    <w:rsid w:val="00F45790"/>
    <w:rsid w:val="00F45844"/>
    <w:rsid w:val="00F45A93"/>
    <w:rsid w:val="00F47085"/>
    <w:rsid w:val="00F477F8"/>
    <w:rsid w:val="00F479D9"/>
    <w:rsid w:val="00F47F20"/>
    <w:rsid w:val="00F50390"/>
    <w:rsid w:val="00F50AC7"/>
    <w:rsid w:val="00F510BA"/>
    <w:rsid w:val="00F5191B"/>
    <w:rsid w:val="00F51F5F"/>
    <w:rsid w:val="00F525CA"/>
    <w:rsid w:val="00F52947"/>
    <w:rsid w:val="00F52A43"/>
    <w:rsid w:val="00F52AB3"/>
    <w:rsid w:val="00F53079"/>
    <w:rsid w:val="00F530BE"/>
    <w:rsid w:val="00F53175"/>
    <w:rsid w:val="00F539F6"/>
    <w:rsid w:val="00F53A44"/>
    <w:rsid w:val="00F53C15"/>
    <w:rsid w:val="00F540EC"/>
    <w:rsid w:val="00F54583"/>
    <w:rsid w:val="00F54625"/>
    <w:rsid w:val="00F54871"/>
    <w:rsid w:val="00F548ED"/>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5DE6"/>
    <w:rsid w:val="00F66CC9"/>
    <w:rsid w:val="00F66ED7"/>
    <w:rsid w:val="00F67300"/>
    <w:rsid w:val="00F6733D"/>
    <w:rsid w:val="00F6780D"/>
    <w:rsid w:val="00F67830"/>
    <w:rsid w:val="00F679CC"/>
    <w:rsid w:val="00F67C26"/>
    <w:rsid w:val="00F67E02"/>
    <w:rsid w:val="00F67E9E"/>
    <w:rsid w:val="00F700DC"/>
    <w:rsid w:val="00F7020F"/>
    <w:rsid w:val="00F703A1"/>
    <w:rsid w:val="00F7079D"/>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4F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1A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CA8"/>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4DA7"/>
    <w:rsid w:val="00FD50EA"/>
    <w:rsid w:val="00FD526C"/>
    <w:rsid w:val="00FD55FF"/>
    <w:rsid w:val="00FD5BD1"/>
    <w:rsid w:val="00FD61AF"/>
    <w:rsid w:val="00FD63CC"/>
    <w:rsid w:val="00FD68C0"/>
    <w:rsid w:val="00FD6E74"/>
    <w:rsid w:val="00FD7291"/>
    <w:rsid w:val="00FD73F3"/>
    <w:rsid w:val="00FD753C"/>
    <w:rsid w:val="00FD7570"/>
    <w:rsid w:val="00FD78D8"/>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1CC"/>
    <w:rsid w:val="00FE7607"/>
    <w:rsid w:val="00FE7D10"/>
    <w:rsid w:val="00FE7EE4"/>
    <w:rsid w:val="00FF06A7"/>
    <w:rsid w:val="00FF0882"/>
    <w:rsid w:val="00FF0BE6"/>
    <w:rsid w:val="00FF0DF5"/>
    <w:rsid w:val="00FF1257"/>
    <w:rsid w:val="00FF1376"/>
    <w:rsid w:val="00FF16C6"/>
    <w:rsid w:val="00FF180F"/>
    <w:rsid w:val="00FF1B18"/>
    <w:rsid w:val="00FF1C3F"/>
    <w:rsid w:val="00FF1D1F"/>
    <w:rsid w:val="00FF1F24"/>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3468405"/>
    <w:rsid w:val="035574DC"/>
    <w:rsid w:val="03D6032F"/>
    <w:rsid w:val="0501A813"/>
    <w:rsid w:val="05390BAF"/>
    <w:rsid w:val="05B1F436"/>
    <w:rsid w:val="05BDD96C"/>
    <w:rsid w:val="060C5539"/>
    <w:rsid w:val="0676BCC4"/>
    <w:rsid w:val="07E604A9"/>
    <w:rsid w:val="08185933"/>
    <w:rsid w:val="08C2E1FB"/>
    <w:rsid w:val="09378EF8"/>
    <w:rsid w:val="09AF9178"/>
    <w:rsid w:val="09BB32E5"/>
    <w:rsid w:val="0A0A607F"/>
    <w:rsid w:val="0A807E5D"/>
    <w:rsid w:val="0AE05F3C"/>
    <w:rsid w:val="0AE133EB"/>
    <w:rsid w:val="0B2155CB"/>
    <w:rsid w:val="0BDA2A96"/>
    <w:rsid w:val="0C401BE9"/>
    <w:rsid w:val="0CA8533F"/>
    <w:rsid w:val="0D044942"/>
    <w:rsid w:val="0D0BE2BB"/>
    <w:rsid w:val="0D48F1CD"/>
    <w:rsid w:val="0D4B61D4"/>
    <w:rsid w:val="0D8CBD87"/>
    <w:rsid w:val="0DED8360"/>
    <w:rsid w:val="0DF52187"/>
    <w:rsid w:val="0E1FE71A"/>
    <w:rsid w:val="0EF84291"/>
    <w:rsid w:val="0F4A63DC"/>
    <w:rsid w:val="0F85074C"/>
    <w:rsid w:val="0FBE84E0"/>
    <w:rsid w:val="0FF70F58"/>
    <w:rsid w:val="0FFDC9C4"/>
    <w:rsid w:val="1000EA5A"/>
    <w:rsid w:val="105221DF"/>
    <w:rsid w:val="10584BD4"/>
    <w:rsid w:val="10739376"/>
    <w:rsid w:val="10AFE818"/>
    <w:rsid w:val="10C9CAA2"/>
    <w:rsid w:val="11BBE227"/>
    <w:rsid w:val="125C5F9E"/>
    <w:rsid w:val="1327AAD2"/>
    <w:rsid w:val="1345B995"/>
    <w:rsid w:val="13BF14E1"/>
    <w:rsid w:val="13EF3A8C"/>
    <w:rsid w:val="14A26E7C"/>
    <w:rsid w:val="14D10710"/>
    <w:rsid w:val="14FBC8E4"/>
    <w:rsid w:val="1562C8A0"/>
    <w:rsid w:val="1592F778"/>
    <w:rsid w:val="1658CCB8"/>
    <w:rsid w:val="16662770"/>
    <w:rsid w:val="16DA9373"/>
    <w:rsid w:val="16E1C21B"/>
    <w:rsid w:val="18023F4B"/>
    <w:rsid w:val="18460731"/>
    <w:rsid w:val="1872265F"/>
    <w:rsid w:val="18F03081"/>
    <w:rsid w:val="19D4157B"/>
    <w:rsid w:val="1A10BC7F"/>
    <w:rsid w:val="1A1F1CD9"/>
    <w:rsid w:val="1A399F93"/>
    <w:rsid w:val="1AF64AC6"/>
    <w:rsid w:val="1C0E863D"/>
    <w:rsid w:val="1CCB0345"/>
    <w:rsid w:val="1D8BD2AD"/>
    <w:rsid w:val="1DE59AE0"/>
    <w:rsid w:val="1E42C0F1"/>
    <w:rsid w:val="1E554891"/>
    <w:rsid w:val="1EABC8D9"/>
    <w:rsid w:val="1EE42DA2"/>
    <w:rsid w:val="1FA2B2B4"/>
    <w:rsid w:val="1FC61569"/>
    <w:rsid w:val="1FF05557"/>
    <w:rsid w:val="200961F8"/>
    <w:rsid w:val="200B320B"/>
    <w:rsid w:val="200E6F34"/>
    <w:rsid w:val="2040C890"/>
    <w:rsid w:val="208DD0C8"/>
    <w:rsid w:val="20EB13D6"/>
    <w:rsid w:val="20F603BB"/>
    <w:rsid w:val="217E25D9"/>
    <w:rsid w:val="218AB454"/>
    <w:rsid w:val="2249D9D3"/>
    <w:rsid w:val="224FCE20"/>
    <w:rsid w:val="22A9001C"/>
    <w:rsid w:val="239801F9"/>
    <w:rsid w:val="23E08AB5"/>
    <w:rsid w:val="2426FC9B"/>
    <w:rsid w:val="2446305B"/>
    <w:rsid w:val="24BFADC1"/>
    <w:rsid w:val="2516CAF0"/>
    <w:rsid w:val="256E76F8"/>
    <w:rsid w:val="25CE800D"/>
    <w:rsid w:val="2796214B"/>
    <w:rsid w:val="27AA2755"/>
    <w:rsid w:val="285D425D"/>
    <w:rsid w:val="288B21B6"/>
    <w:rsid w:val="28C5D7A7"/>
    <w:rsid w:val="2A279100"/>
    <w:rsid w:val="2A370B13"/>
    <w:rsid w:val="2B09317A"/>
    <w:rsid w:val="2B1C864E"/>
    <w:rsid w:val="2B73BFA2"/>
    <w:rsid w:val="2B9D61B6"/>
    <w:rsid w:val="2BDB7539"/>
    <w:rsid w:val="2BDDCFF9"/>
    <w:rsid w:val="2D36A166"/>
    <w:rsid w:val="2D6FB418"/>
    <w:rsid w:val="2DAF2357"/>
    <w:rsid w:val="2F0D940E"/>
    <w:rsid w:val="2F1A7FD2"/>
    <w:rsid w:val="30CF9292"/>
    <w:rsid w:val="3171FD21"/>
    <w:rsid w:val="328BB401"/>
    <w:rsid w:val="32C120E0"/>
    <w:rsid w:val="32D5AED1"/>
    <w:rsid w:val="32DD0B82"/>
    <w:rsid w:val="32F60DD1"/>
    <w:rsid w:val="339893FD"/>
    <w:rsid w:val="33FAB956"/>
    <w:rsid w:val="3411817D"/>
    <w:rsid w:val="34C5C57B"/>
    <w:rsid w:val="35108E1C"/>
    <w:rsid w:val="35AC6B77"/>
    <w:rsid w:val="362A1957"/>
    <w:rsid w:val="36492316"/>
    <w:rsid w:val="365828CD"/>
    <w:rsid w:val="36862D44"/>
    <w:rsid w:val="36E46037"/>
    <w:rsid w:val="372534CA"/>
    <w:rsid w:val="3788B43A"/>
    <w:rsid w:val="37AE0932"/>
    <w:rsid w:val="380D288E"/>
    <w:rsid w:val="38B49E77"/>
    <w:rsid w:val="39F82AF2"/>
    <w:rsid w:val="3A0DED50"/>
    <w:rsid w:val="3B971561"/>
    <w:rsid w:val="3C44EE76"/>
    <w:rsid w:val="3C46FB72"/>
    <w:rsid w:val="3D71F41C"/>
    <w:rsid w:val="3E6F4E50"/>
    <w:rsid w:val="3E94DFA0"/>
    <w:rsid w:val="3ED24B81"/>
    <w:rsid w:val="3F609C44"/>
    <w:rsid w:val="3F61022C"/>
    <w:rsid w:val="3FCC9C68"/>
    <w:rsid w:val="3FF599E8"/>
    <w:rsid w:val="400C7431"/>
    <w:rsid w:val="400D5DDD"/>
    <w:rsid w:val="401FB760"/>
    <w:rsid w:val="4162E6C8"/>
    <w:rsid w:val="41FBA2C5"/>
    <w:rsid w:val="41FDDEE0"/>
    <w:rsid w:val="4230035A"/>
    <w:rsid w:val="4252DC4C"/>
    <w:rsid w:val="42876669"/>
    <w:rsid w:val="42BEF03B"/>
    <w:rsid w:val="42DA84E4"/>
    <w:rsid w:val="42EED46E"/>
    <w:rsid w:val="4393861C"/>
    <w:rsid w:val="43E202B7"/>
    <w:rsid w:val="44167381"/>
    <w:rsid w:val="4455C9FA"/>
    <w:rsid w:val="44764A6C"/>
    <w:rsid w:val="4479C731"/>
    <w:rsid w:val="448A6A5B"/>
    <w:rsid w:val="45106955"/>
    <w:rsid w:val="459BEFDA"/>
    <w:rsid w:val="45D62F4B"/>
    <w:rsid w:val="4632EADC"/>
    <w:rsid w:val="46EEAF72"/>
    <w:rsid w:val="470476A5"/>
    <w:rsid w:val="470763AA"/>
    <w:rsid w:val="473775DC"/>
    <w:rsid w:val="475B9DE2"/>
    <w:rsid w:val="4775C6BE"/>
    <w:rsid w:val="47A2CF34"/>
    <w:rsid w:val="484CB145"/>
    <w:rsid w:val="48E07555"/>
    <w:rsid w:val="496D51E1"/>
    <w:rsid w:val="49A0724D"/>
    <w:rsid w:val="49B83523"/>
    <w:rsid w:val="4ABC2EE8"/>
    <w:rsid w:val="4BB0109F"/>
    <w:rsid w:val="4BF2F995"/>
    <w:rsid w:val="4C47A44A"/>
    <w:rsid w:val="4CA57F2B"/>
    <w:rsid w:val="4CD16980"/>
    <w:rsid w:val="4D4EAC6D"/>
    <w:rsid w:val="4D86E8F6"/>
    <w:rsid w:val="4E6349F4"/>
    <w:rsid w:val="4E83B2BB"/>
    <w:rsid w:val="4ED7A524"/>
    <w:rsid w:val="4F675088"/>
    <w:rsid w:val="501D8AC7"/>
    <w:rsid w:val="504F2A48"/>
    <w:rsid w:val="507B1C0E"/>
    <w:rsid w:val="50899FAB"/>
    <w:rsid w:val="511876D0"/>
    <w:rsid w:val="5169975C"/>
    <w:rsid w:val="5304CA7A"/>
    <w:rsid w:val="53709E93"/>
    <w:rsid w:val="537BB206"/>
    <w:rsid w:val="543858F0"/>
    <w:rsid w:val="54C41328"/>
    <w:rsid w:val="55B147C9"/>
    <w:rsid w:val="561CF093"/>
    <w:rsid w:val="562A5036"/>
    <w:rsid w:val="568CF300"/>
    <w:rsid w:val="56B961D6"/>
    <w:rsid w:val="56CEDFB3"/>
    <w:rsid w:val="56FDBC71"/>
    <w:rsid w:val="57040A07"/>
    <w:rsid w:val="57346EE6"/>
    <w:rsid w:val="57DC5A6F"/>
    <w:rsid w:val="587DE472"/>
    <w:rsid w:val="5A582D7C"/>
    <w:rsid w:val="5A6FC1B1"/>
    <w:rsid w:val="5AA8391E"/>
    <w:rsid w:val="5B780DEB"/>
    <w:rsid w:val="5BA5ADC4"/>
    <w:rsid w:val="5C320460"/>
    <w:rsid w:val="5C3398C9"/>
    <w:rsid w:val="5C6768FA"/>
    <w:rsid w:val="5D2939C9"/>
    <w:rsid w:val="5D384367"/>
    <w:rsid w:val="5D50B6D2"/>
    <w:rsid w:val="5D78FBCC"/>
    <w:rsid w:val="5D7F84A8"/>
    <w:rsid w:val="5D978B00"/>
    <w:rsid w:val="5DCF98F5"/>
    <w:rsid w:val="5F1EEBBC"/>
    <w:rsid w:val="5FC09FF0"/>
    <w:rsid w:val="5FFE09D2"/>
    <w:rsid w:val="6092E6DD"/>
    <w:rsid w:val="60C4452E"/>
    <w:rsid w:val="6134BA5E"/>
    <w:rsid w:val="6156D925"/>
    <w:rsid w:val="616B1EC3"/>
    <w:rsid w:val="61805E5B"/>
    <w:rsid w:val="619CF2CB"/>
    <w:rsid w:val="61E6F5A7"/>
    <w:rsid w:val="620C6B45"/>
    <w:rsid w:val="62108791"/>
    <w:rsid w:val="62BF715B"/>
    <w:rsid w:val="63043E38"/>
    <w:rsid w:val="631B2AFD"/>
    <w:rsid w:val="631EB26F"/>
    <w:rsid w:val="6337D062"/>
    <w:rsid w:val="6418F277"/>
    <w:rsid w:val="64AB5ECB"/>
    <w:rsid w:val="6513D1E5"/>
    <w:rsid w:val="65153C24"/>
    <w:rsid w:val="65CCB53A"/>
    <w:rsid w:val="6640EA75"/>
    <w:rsid w:val="6674A95B"/>
    <w:rsid w:val="6686997D"/>
    <w:rsid w:val="66F13F9C"/>
    <w:rsid w:val="673AE019"/>
    <w:rsid w:val="674351F8"/>
    <w:rsid w:val="67AB990C"/>
    <w:rsid w:val="68CE8490"/>
    <w:rsid w:val="6A51AA4D"/>
    <w:rsid w:val="6A9CD6F5"/>
    <w:rsid w:val="6ABF60FC"/>
    <w:rsid w:val="6AC7DCC5"/>
    <w:rsid w:val="6AE8471B"/>
    <w:rsid w:val="6B471838"/>
    <w:rsid w:val="6B4DC0A3"/>
    <w:rsid w:val="6B9484B5"/>
    <w:rsid w:val="6BEB85B0"/>
    <w:rsid w:val="6C31FACD"/>
    <w:rsid w:val="6C6950AD"/>
    <w:rsid w:val="6CA25828"/>
    <w:rsid w:val="6D0C5FA6"/>
    <w:rsid w:val="6DAB4EDD"/>
    <w:rsid w:val="6E6C958B"/>
    <w:rsid w:val="6E843B3A"/>
    <w:rsid w:val="6F22DAD0"/>
    <w:rsid w:val="6FD594CA"/>
    <w:rsid w:val="6FE70E45"/>
    <w:rsid w:val="7246D5BD"/>
    <w:rsid w:val="728EDD6C"/>
    <w:rsid w:val="72E7BADE"/>
    <w:rsid w:val="73CCDC72"/>
    <w:rsid w:val="7555091E"/>
    <w:rsid w:val="7616DCAD"/>
    <w:rsid w:val="76336396"/>
    <w:rsid w:val="76346229"/>
    <w:rsid w:val="76365DFE"/>
    <w:rsid w:val="768AFACB"/>
    <w:rsid w:val="76BA4A67"/>
    <w:rsid w:val="77D82550"/>
    <w:rsid w:val="77DFD756"/>
    <w:rsid w:val="78244512"/>
    <w:rsid w:val="783EC16F"/>
    <w:rsid w:val="78A6DF9C"/>
    <w:rsid w:val="78ADB471"/>
    <w:rsid w:val="79287059"/>
    <w:rsid w:val="79A184D6"/>
    <w:rsid w:val="79F2EEE8"/>
    <w:rsid w:val="7B2F8A49"/>
    <w:rsid w:val="7B7455F6"/>
    <w:rsid w:val="7BC5A887"/>
    <w:rsid w:val="7BF55CFD"/>
    <w:rsid w:val="7C64D7B9"/>
    <w:rsid w:val="7CFF939E"/>
    <w:rsid w:val="7D3BBAC0"/>
    <w:rsid w:val="7D7E3EDD"/>
    <w:rsid w:val="7E4D301A"/>
    <w:rsid w:val="7ED10A50"/>
    <w:rsid w:val="7EF7C3CB"/>
    <w:rsid w:val="7F27C59D"/>
    <w:rsid w:val="7F841A67"/>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188F083-BC64-4299-98B3-FCE6AA4A2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7AFC"/>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qFormat/>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8"/>
      </w:numPr>
      <w:spacing w:before="60" w:after="0"/>
      <w:jc w:val="left"/>
    </w:pPr>
    <w:rPr>
      <w:rFonts w:ascii="Arial" w:eastAsia="MS Mincho" w:hAnsi="Arial"/>
      <w:b/>
      <w:lang w:eastAsia="en-GB"/>
    </w:rPr>
  </w:style>
  <w:style w:type="character" w:customStyle="1" w:styleId="UnresolvedMention1">
    <w:name w:val="Unresolved Mention1"/>
    <w:basedOn w:val="DefaultParagraphFont"/>
    <w:uiPriority w:val="99"/>
    <w:unhideWhenUsed/>
    <w:rsid w:val="003865A7"/>
    <w:rPr>
      <w:color w:val="605E5C"/>
      <w:shd w:val="clear" w:color="auto" w:fill="E1DFDD"/>
    </w:rPr>
  </w:style>
  <w:style w:type="character" w:customStyle="1" w:styleId="Mention1">
    <w:name w:val="Mention1"/>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paragraph" w:customStyle="1" w:styleId="paragraph">
    <w:name w:val="paragraph"/>
    <w:basedOn w:val="Normal"/>
    <w:rsid w:val="009D748A"/>
    <w:pPr>
      <w:spacing w:before="100" w:beforeAutospacing="1" w:after="100" w:afterAutospacing="1"/>
      <w:jc w:val="left"/>
    </w:pPr>
    <w:rPr>
      <w:rFonts w:ascii="Times New Roman" w:eastAsia="Times New Roman" w:hAnsi="Times New Roman"/>
      <w:sz w:val="24"/>
      <w:lang w:eastAsia="zh-CN"/>
    </w:rPr>
  </w:style>
  <w:style w:type="character" w:customStyle="1" w:styleId="normaltextrun">
    <w:name w:val="normaltextrun"/>
    <w:basedOn w:val="DefaultParagraphFont"/>
    <w:rsid w:val="009D748A"/>
  </w:style>
  <w:style w:type="character" w:customStyle="1" w:styleId="eop">
    <w:name w:val="eop"/>
    <w:basedOn w:val="DefaultParagraphFont"/>
    <w:rsid w:val="009D748A"/>
  </w:style>
  <w:style w:type="paragraph" w:customStyle="1" w:styleId="CRCoverPage">
    <w:name w:val="CR Cover Page"/>
    <w:next w:val="Normal"/>
    <w:link w:val="CRCoverPageZchn"/>
    <w:qFormat/>
    <w:rsid w:val="00C269A1"/>
    <w:rPr>
      <w:rFonts w:ascii="Arial" w:eastAsia="SimSun" w:hAnsi="Arial"/>
    </w:rPr>
  </w:style>
  <w:style w:type="character" w:customStyle="1" w:styleId="CRCoverPageZchn">
    <w:name w:val="CR Cover Page Zchn"/>
    <w:link w:val="CRCoverPage"/>
    <w:rsid w:val="00C269A1"/>
    <w:rPr>
      <w:rFonts w:ascii="Arial" w:eastAsia="SimSun" w:hAnsi="Arial"/>
    </w:rPr>
  </w:style>
  <w:style w:type="paragraph" w:customStyle="1" w:styleId="References">
    <w:name w:val="References"/>
    <w:basedOn w:val="Normal"/>
    <w:rsid w:val="008344D8"/>
    <w:pPr>
      <w:tabs>
        <w:tab w:val="num" w:pos="360"/>
      </w:tabs>
      <w:autoSpaceDE w:val="0"/>
      <w:autoSpaceDN w:val="0"/>
      <w:snapToGrid w:val="0"/>
      <w:spacing w:after="60"/>
      <w:ind w:left="360" w:hanging="3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1580422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1313470">
      <w:bodyDiv w:val="1"/>
      <w:marLeft w:val="0"/>
      <w:marRight w:val="0"/>
      <w:marTop w:val="0"/>
      <w:marBottom w:val="0"/>
      <w:divBdr>
        <w:top w:val="none" w:sz="0" w:space="0" w:color="auto"/>
        <w:left w:val="none" w:sz="0" w:space="0" w:color="auto"/>
        <w:bottom w:val="none" w:sz="0" w:space="0" w:color="auto"/>
        <w:right w:val="none" w:sz="0" w:space="0" w:color="auto"/>
      </w:divBdr>
      <w:divsChild>
        <w:div w:id="92407807">
          <w:marLeft w:val="0"/>
          <w:marRight w:val="0"/>
          <w:marTop w:val="0"/>
          <w:marBottom w:val="0"/>
          <w:divBdr>
            <w:top w:val="none" w:sz="0" w:space="0" w:color="auto"/>
            <w:left w:val="none" w:sz="0" w:space="0" w:color="auto"/>
            <w:bottom w:val="none" w:sz="0" w:space="0" w:color="auto"/>
            <w:right w:val="none" w:sz="0" w:space="0" w:color="auto"/>
          </w:divBdr>
          <w:divsChild>
            <w:div w:id="131562935">
              <w:marLeft w:val="0"/>
              <w:marRight w:val="0"/>
              <w:marTop w:val="0"/>
              <w:marBottom w:val="0"/>
              <w:divBdr>
                <w:top w:val="none" w:sz="0" w:space="0" w:color="auto"/>
                <w:left w:val="none" w:sz="0" w:space="0" w:color="auto"/>
                <w:bottom w:val="none" w:sz="0" w:space="0" w:color="auto"/>
                <w:right w:val="none" w:sz="0" w:space="0" w:color="auto"/>
              </w:divBdr>
            </w:div>
          </w:divsChild>
        </w:div>
        <w:div w:id="134764792">
          <w:marLeft w:val="0"/>
          <w:marRight w:val="0"/>
          <w:marTop w:val="0"/>
          <w:marBottom w:val="0"/>
          <w:divBdr>
            <w:top w:val="none" w:sz="0" w:space="0" w:color="auto"/>
            <w:left w:val="none" w:sz="0" w:space="0" w:color="auto"/>
            <w:bottom w:val="none" w:sz="0" w:space="0" w:color="auto"/>
            <w:right w:val="none" w:sz="0" w:space="0" w:color="auto"/>
          </w:divBdr>
          <w:divsChild>
            <w:div w:id="504171214">
              <w:marLeft w:val="0"/>
              <w:marRight w:val="0"/>
              <w:marTop w:val="0"/>
              <w:marBottom w:val="0"/>
              <w:divBdr>
                <w:top w:val="none" w:sz="0" w:space="0" w:color="auto"/>
                <w:left w:val="none" w:sz="0" w:space="0" w:color="auto"/>
                <w:bottom w:val="none" w:sz="0" w:space="0" w:color="auto"/>
                <w:right w:val="none" w:sz="0" w:space="0" w:color="auto"/>
              </w:divBdr>
            </w:div>
          </w:divsChild>
        </w:div>
        <w:div w:id="137235114">
          <w:marLeft w:val="0"/>
          <w:marRight w:val="0"/>
          <w:marTop w:val="0"/>
          <w:marBottom w:val="0"/>
          <w:divBdr>
            <w:top w:val="none" w:sz="0" w:space="0" w:color="auto"/>
            <w:left w:val="none" w:sz="0" w:space="0" w:color="auto"/>
            <w:bottom w:val="none" w:sz="0" w:space="0" w:color="auto"/>
            <w:right w:val="none" w:sz="0" w:space="0" w:color="auto"/>
          </w:divBdr>
          <w:divsChild>
            <w:div w:id="89939241">
              <w:marLeft w:val="0"/>
              <w:marRight w:val="0"/>
              <w:marTop w:val="0"/>
              <w:marBottom w:val="0"/>
              <w:divBdr>
                <w:top w:val="none" w:sz="0" w:space="0" w:color="auto"/>
                <w:left w:val="none" w:sz="0" w:space="0" w:color="auto"/>
                <w:bottom w:val="none" w:sz="0" w:space="0" w:color="auto"/>
                <w:right w:val="none" w:sz="0" w:space="0" w:color="auto"/>
              </w:divBdr>
            </w:div>
          </w:divsChild>
        </w:div>
        <w:div w:id="323357287">
          <w:marLeft w:val="0"/>
          <w:marRight w:val="0"/>
          <w:marTop w:val="0"/>
          <w:marBottom w:val="0"/>
          <w:divBdr>
            <w:top w:val="none" w:sz="0" w:space="0" w:color="auto"/>
            <w:left w:val="none" w:sz="0" w:space="0" w:color="auto"/>
            <w:bottom w:val="none" w:sz="0" w:space="0" w:color="auto"/>
            <w:right w:val="none" w:sz="0" w:space="0" w:color="auto"/>
          </w:divBdr>
          <w:divsChild>
            <w:div w:id="100955348">
              <w:marLeft w:val="0"/>
              <w:marRight w:val="0"/>
              <w:marTop w:val="0"/>
              <w:marBottom w:val="0"/>
              <w:divBdr>
                <w:top w:val="none" w:sz="0" w:space="0" w:color="auto"/>
                <w:left w:val="none" w:sz="0" w:space="0" w:color="auto"/>
                <w:bottom w:val="none" w:sz="0" w:space="0" w:color="auto"/>
                <w:right w:val="none" w:sz="0" w:space="0" w:color="auto"/>
              </w:divBdr>
            </w:div>
            <w:div w:id="496504129">
              <w:marLeft w:val="0"/>
              <w:marRight w:val="0"/>
              <w:marTop w:val="0"/>
              <w:marBottom w:val="0"/>
              <w:divBdr>
                <w:top w:val="none" w:sz="0" w:space="0" w:color="auto"/>
                <w:left w:val="none" w:sz="0" w:space="0" w:color="auto"/>
                <w:bottom w:val="none" w:sz="0" w:space="0" w:color="auto"/>
                <w:right w:val="none" w:sz="0" w:space="0" w:color="auto"/>
              </w:divBdr>
            </w:div>
            <w:div w:id="779840673">
              <w:marLeft w:val="0"/>
              <w:marRight w:val="0"/>
              <w:marTop w:val="0"/>
              <w:marBottom w:val="0"/>
              <w:divBdr>
                <w:top w:val="none" w:sz="0" w:space="0" w:color="auto"/>
                <w:left w:val="none" w:sz="0" w:space="0" w:color="auto"/>
                <w:bottom w:val="none" w:sz="0" w:space="0" w:color="auto"/>
                <w:right w:val="none" w:sz="0" w:space="0" w:color="auto"/>
              </w:divBdr>
            </w:div>
            <w:div w:id="1707831290">
              <w:marLeft w:val="0"/>
              <w:marRight w:val="0"/>
              <w:marTop w:val="0"/>
              <w:marBottom w:val="0"/>
              <w:divBdr>
                <w:top w:val="none" w:sz="0" w:space="0" w:color="auto"/>
                <w:left w:val="none" w:sz="0" w:space="0" w:color="auto"/>
                <w:bottom w:val="none" w:sz="0" w:space="0" w:color="auto"/>
                <w:right w:val="none" w:sz="0" w:space="0" w:color="auto"/>
              </w:divBdr>
            </w:div>
          </w:divsChild>
        </w:div>
        <w:div w:id="325327483">
          <w:marLeft w:val="0"/>
          <w:marRight w:val="0"/>
          <w:marTop w:val="0"/>
          <w:marBottom w:val="0"/>
          <w:divBdr>
            <w:top w:val="none" w:sz="0" w:space="0" w:color="auto"/>
            <w:left w:val="none" w:sz="0" w:space="0" w:color="auto"/>
            <w:bottom w:val="none" w:sz="0" w:space="0" w:color="auto"/>
            <w:right w:val="none" w:sz="0" w:space="0" w:color="auto"/>
          </w:divBdr>
          <w:divsChild>
            <w:div w:id="1309164202">
              <w:marLeft w:val="0"/>
              <w:marRight w:val="0"/>
              <w:marTop w:val="0"/>
              <w:marBottom w:val="0"/>
              <w:divBdr>
                <w:top w:val="none" w:sz="0" w:space="0" w:color="auto"/>
                <w:left w:val="none" w:sz="0" w:space="0" w:color="auto"/>
                <w:bottom w:val="none" w:sz="0" w:space="0" w:color="auto"/>
                <w:right w:val="none" w:sz="0" w:space="0" w:color="auto"/>
              </w:divBdr>
            </w:div>
          </w:divsChild>
        </w:div>
        <w:div w:id="517936788">
          <w:marLeft w:val="0"/>
          <w:marRight w:val="0"/>
          <w:marTop w:val="0"/>
          <w:marBottom w:val="0"/>
          <w:divBdr>
            <w:top w:val="none" w:sz="0" w:space="0" w:color="auto"/>
            <w:left w:val="none" w:sz="0" w:space="0" w:color="auto"/>
            <w:bottom w:val="none" w:sz="0" w:space="0" w:color="auto"/>
            <w:right w:val="none" w:sz="0" w:space="0" w:color="auto"/>
          </w:divBdr>
          <w:divsChild>
            <w:div w:id="530463093">
              <w:marLeft w:val="0"/>
              <w:marRight w:val="0"/>
              <w:marTop w:val="0"/>
              <w:marBottom w:val="0"/>
              <w:divBdr>
                <w:top w:val="none" w:sz="0" w:space="0" w:color="auto"/>
                <w:left w:val="none" w:sz="0" w:space="0" w:color="auto"/>
                <w:bottom w:val="none" w:sz="0" w:space="0" w:color="auto"/>
                <w:right w:val="none" w:sz="0" w:space="0" w:color="auto"/>
              </w:divBdr>
            </w:div>
            <w:div w:id="603611608">
              <w:marLeft w:val="0"/>
              <w:marRight w:val="0"/>
              <w:marTop w:val="0"/>
              <w:marBottom w:val="0"/>
              <w:divBdr>
                <w:top w:val="none" w:sz="0" w:space="0" w:color="auto"/>
                <w:left w:val="none" w:sz="0" w:space="0" w:color="auto"/>
                <w:bottom w:val="none" w:sz="0" w:space="0" w:color="auto"/>
                <w:right w:val="none" w:sz="0" w:space="0" w:color="auto"/>
              </w:divBdr>
            </w:div>
            <w:div w:id="1624075432">
              <w:marLeft w:val="0"/>
              <w:marRight w:val="0"/>
              <w:marTop w:val="0"/>
              <w:marBottom w:val="0"/>
              <w:divBdr>
                <w:top w:val="none" w:sz="0" w:space="0" w:color="auto"/>
                <w:left w:val="none" w:sz="0" w:space="0" w:color="auto"/>
                <w:bottom w:val="none" w:sz="0" w:space="0" w:color="auto"/>
                <w:right w:val="none" w:sz="0" w:space="0" w:color="auto"/>
              </w:divBdr>
            </w:div>
            <w:div w:id="1624263619">
              <w:marLeft w:val="0"/>
              <w:marRight w:val="0"/>
              <w:marTop w:val="0"/>
              <w:marBottom w:val="0"/>
              <w:divBdr>
                <w:top w:val="none" w:sz="0" w:space="0" w:color="auto"/>
                <w:left w:val="none" w:sz="0" w:space="0" w:color="auto"/>
                <w:bottom w:val="none" w:sz="0" w:space="0" w:color="auto"/>
                <w:right w:val="none" w:sz="0" w:space="0" w:color="auto"/>
              </w:divBdr>
            </w:div>
            <w:div w:id="2114326460">
              <w:marLeft w:val="0"/>
              <w:marRight w:val="0"/>
              <w:marTop w:val="0"/>
              <w:marBottom w:val="0"/>
              <w:divBdr>
                <w:top w:val="none" w:sz="0" w:space="0" w:color="auto"/>
                <w:left w:val="none" w:sz="0" w:space="0" w:color="auto"/>
                <w:bottom w:val="none" w:sz="0" w:space="0" w:color="auto"/>
                <w:right w:val="none" w:sz="0" w:space="0" w:color="auto"/>
              </w:divBdr>
            </w:div>
          </w:divsChild>
        </w:div>
        <w:div w:id="606231526">
          <w:marLeft w:val="0"/>
          <w:marRight w:val="0"/>
          <w:marTop w:val="0"/>
          <w:marBottom w:val="0"/>
          <w:divBdr>
            <w:top w:val="none" w:sz="0" w:space="0" w:color="auto"/>
            <w:left w:val="none" w:sz="0" w:space="0" w:color="auto"/>
            <w:bottom w:val="none" w:sz="0" w:space="0" w:color="auto"/>
            <w:right w:val="none" w:sz="0" w:space="0" w:color="auto"/>
          </w:divBdr>
          <w:divsChild>
            <w:div w:id="1932007610">
              <w:marLeft w:val="0"/>
              <w:marRight w:val="0"/>
              <w:marTop w:val="0"/>
              <w:marBottom w:val="0"/>
              <w:divBdr>
                <w:top w:val="none" w:sz="0" w:space="0" w:color="auto"/>
                <w:left w:val="none" w:sz="0" w:space="0" w:color="auto"/>
                <w:bottom w:val="none" w:sz="0" w:space="0" w:color="auto"/>
                <w:right w:val="none" w:sz="0" w:space="0" w:color="auto"/>
              </w:divBdr>
            </w:div>
          </w:divsChild>
        </w:div>
        <w:div w:id="624968267">
          <w:marLeft w:val="0"/>
          <w:marRight w:val="0"/>
          <w:marTop w:val="0"/>
          <w:marBottom w:val="0"/>
          <w:divBdr>
            <w:top w:val="none" w:sz="0" w:space="0" w:color="auto"/>
            <w:left w:val="none" w:sz="0" w:space="0" w:color="auto"/>
            <w:bottom w:val="none" w:sz="0" w:space="0" w:color="auto"/>
            <w:right w:val="none" w:sz="0" w:space="0" w:color="auto"/>
          </w:divBdr>
          <w:divsChild>
            <w:div w:id="444467098">
              <w:marLeft w:val="0"/>
              <w:marRight w:val="0"/>
              <w:marTop w:val="0"/>
              <w:marBottom w:val="0"/>
              <w:divBdr>
                <w:top w:val="none" w:sz="0" w:space="0" w:color="auto"/>
                <w:left w:val="none" w:sz="0" w:space="0" w:color="auto"/>
                <w:bottom w:val="none" w:sz="0" w:space="0" w:color="auto"/>
                <w:right w:val="none" w:sz="0" w:space="0" w:color="auto"/>
              </w:divBdr>
            </w:div>
          </w:divsChild>
        </w:div>
        <w:div w:id="673606613">
          <w:marLeft w:val="0"/>
          <w:marRight w:val="0"/>
          <w:marTop w:val="0"/>
          <w:marBottom w:val="0"/>
          <w:divBdr>
            <w:top w:val="none" w:sz="0" w:space="0" w:color="auto"/>
            <w:left w:val="none" w:sz="0" w:space="0" w:color="auto"/>
            <w:bottom w:val="none" w:sz="0" w:space="0" w:color="auto"/>
            <w:right w:val="none" w:sz="0" w:space="0" w:color="auto"/>
          </w:divBdr>
          <w:divsChild>
            <w:div w:id="1343628985">
              <w:marLeft w:val="0"/>
              <w:marRight w:val="0"/>
              <w:marTop w:val="0"/>
              <w:marBottom w:val="0"/>
              <w:divBdr>
                <w:top w:val="none" w:sz="0" w:space="0" w:color="auto"/>
                <w:left w:val="none" w:sz="0" w:space="0" w:color="auto"/>
                <w:bottom w:val="none" w:sz="0" w:space="0" w:color="auto"/>
                <w:right w:val="none" w:sz="0" w:space="0" w:color="auto"/>
              </w:divBdr>
            </w:div>
          </w:divsChild>
        </w:div>
        <w:div w:id="705644136">
          <w:marLeft w:val="0"/>
          <w:marRight w:val="0"/>
          <w:marTop w:val="0"/>
          <w:marBottom w:val="0"/>
          <w:divBdr>
            <w:top w:val="none" w:sz="0" w:space="0" w:color="auto"/>
            <w:left w:val="none" w:sz="0" w:space="0" w:color="auto"/>
            <w:bottom w:val="none" w:sz="0" w:space="0" w:color="auto"/>
            <w:right w:val="none" w:sz="0" w:space="0" w:color="auto"/>
          </w:divBdr>
          <w:divsChild>
            <w:div w:id="1314263362">
              <w:marLeft w:val="0"/>
              <w:marRight w:val="0"/>
              <w:marTop w:val="0"/>
              <w:marBottom w:val="0"/>
              <w:divBdr>
                <w:top w:val="none" w:sz="0" w:space="0" w:color="auto"/>
                <w:left w:val="none" w:sz="0" w:space="0" w:color="auto"/>
                <w:bottom w:val="none" w:sz="0" w:space="0" w:color="auto"/>
                <w:right w:val="none" w:sz="0" w:space="0" w:color="auto"/>
              </w:divBdr>
            </w:div>
          </w:divsChild>
        </w:div>
        <w:div w:id="747532561">
          <w:marLeft w:val="0"/>
          <w:marRight w:val="0"/>
          <w:marTop w:val="0"/>
          <w:marBottom w:val="0"/>
          <w:divBdr>
            <w:top w:val="none" w:sz="0" w:space="0" w:color="auto"/>
            <w:left w:val="none" w:sz="0" w:space="0" w:color="auto"/>
            <w:bottom w:val="none" w:sz="0" w:space="0" w:color="auto"/>
            <w:right w:val="none" w:sz="0" w:space="0" w:color="auto"/>
          </w:divBdr>
          <w:divsChild>
            <w:div w:id="1287153979">
              <w:marLeft w:val="0"/>
              <w:marRight w:val="0"/>
              <w:marTop w:val="0"/>
              <w:marBottom w:val="0"/>
              <w:divBdr>
                <w:top w:val="none" w:sz="0" w:space="0" w:color="auto"/>
                <w:left w:val="none" w:sz="0" w:space="0" w:color="auto"/>
                <w:bottom w:val="none" w:sz="0" w:space="0" w:color="auto"/>
                <w:right w:val="none" w:sz="0" w:space="0" w:color="auto"/>
              </w:divBdr>
            </w:div>
          </w:divsChild>
        </w:div>
        <w:div w:id="897974960">
          <w:marLeft w:val="0"/>
          <w:marRight w:val="0"/>
          <w:marTop w:val="0"/>
          <w:marBottom w:val="0"/>
          <w:divBdr>
            <w:top w:val="none" w:sz="0" w:space="0" w:color="auto"/>
            <w:left w:val="none" w:sz="0" w:space="0" w:color="auto"/>
            <w:bottom w:val="none" w:sz="0" w:space="0" w:color="auto"/>
            <w:right w:val="none" w:sz="0" w:space="0" w:color="auto"/>
          </w:divBdr>
          <w:divsChild>
            <w:div w:id="815032515">
              <w:marLeft w:val="0"/>
              <w:marRight w:val="0"/>
              <w:marTop w:val="0"/>
              <w:marBottom w:val="0"/>
              <w:divBdr>
                <w:top w:val="none" w:sz="0" w:space="0" w:color="auto"/>
                <w:left w:val="none" w:sz="0" w:space="0" w:color="auto"/>
                <w:bottom w:val="none" w:sz="0" w:space="0" w:color="auto"/>
                <w:right w:val="none" w:sz="0" w:space="0" w:color="auto"/>
              </w:divBdr>
            </w:div>
          </w:divsChild>
        </w:div>
        <w:div w:id="912006726">
          <w:marLeft w:val="0"/>
          <w:marRight w:val="0"/>
          <w:marTop w:val="0"/>
          <w:marBottom w:val="0"/>
          <w:divBdr>
            <w:top w:val="none" w:sz="0" w:space="0" w:color="auto"/>
            <w:left w:val="none" w:sz="0" w:space="0" w:color="auto"/>
            <w:bottom w:val="none" w:sz="0" w:space="0" w:color="auto"/>
            <w:right w:val="none" w:sz="0" w:space="0" w:color="auto"/>
          </w:divBdr>
          <w:divsChild>
            <w:div w:id="1347900777">
              <w:marLeft w:val="0"/>
              <w:marRight w:val="0"/>
              <w:marTop w:val="0"/>
              <w:marBottom w:val="0"/>
              <w:divBdr>
                <w:top w:val="none" w:sz="0" w:space="0" w:color="auto"/>
                <w:left w:val="none" w:sz="0" w:space="0" w:color="auto"/>
                <w:bottom w:val="none" w:sz="0" w:space="0" w:color="auto"/>
                <w:right w:val="none" w:sz="0" w:space="0" w:color="auto"/>
              </w:divBdr>
            </w:div>
          </w:divsChild>
        </w:div>
        <w:div w:id="978001013">
          <w:marLeft w:val="0"/>
          <w:marRight w:val="0"/>
          <w:marTop w:val="0"/>
          <w:marBottom w:val="0"/>
          <w:divBdr>
            <w:top w:val="none" w:sz="0" w:space="0" w:color="auto"/>
            <w:left w:val="none" w:sz="0" w:space="0" w:color="auto"/>
            <w:bottom w:val="none" w:sz="0" w:space="0" w:color="auto"/>
            <w:right w:val="none" w:sz="0" w:space="0" w:color="auto"/>
          </w:divBdr>
          <w:divsChild>
            <w:div w:id="1360930340">
              <w:marLeft w:val="0"/>
              <w:marRight w:val="0"/>
              <w:marTop w:val="0"/>
              <w:marBottom w:val="0"/>
              <w:divBdr>
                <w:top w:val="none" w:sz="0" w:space="0" w:color="auto"/>
                <w:left w:val="none" w:sz="0" w:space="0" w:color="auto"/>
                <w:bottom w:val="none" w:sz="0" w:space="0" w:color="auto"/>
                <w:right w:val="none" w:sz="0" w:space="0" w:color="auto"/>
              </w:divBdr>
            </w:div>
          </w:divsChild>
        </w:div>
        <w:div w:id="1021859612">
          <w:marLeft w:val="0"/>
          <w:marRight w:val="0"/>
          <w:marTop w:val="0"/>
          <w:marBottom w:val="0"/>
          <w:divBdr>
            <w:top w:val="none" w:sz="0" w:space="0" w:color="auto"/>
            <w:left w:val="none" w:sz="0" w:space="0" w:color="auto"/>
            <w:bottom w:val="none" w:sz="0" w:space="0" w:color="auto"/>
            <w:right w:val="none" w:sz="0" w:space="0" w:color="auto"/>
          </w:divBdr>
          <w:divsChild>
            <w:div w:id="680813043">
              <w:marLeft w:val="0"/>
              <w:marRight w:val="0"/>
              <w:marTop w:val="0"/>
              <w:marBottom w:val="0"/>
              <w:divBdr>
                <w:top w:val="none" w:sz="0" w:space="0" w:color="auto"/>
                <w:left w:val="none" w:sz="0" w:space="0" w:color="auto"/>
                <w:bottom w:val="none" w:sz="0" w:space="0" w:color="auto"/>
                <w:right w:val="none" w:sz="0" w:space="0" w:color="auto"/>
              </w:divBdr>
            </w:div>
          </w:divsChild>
        </w:div>
        <w:div w:id="1037050291">
          <w:marLeft w:val="0"/>
          <w:marRight w:val="0"/>
          <w:marTop w:val="0"/>
          <w:marBottom w:val="0"/>
          <w:divBdr>
            <w:top w:val="none" w:sz="0" w:space="0" w:color="auto"/>
            <w:left w:val="none" w:sz="0" w:space="0" w:color="auto"/>
            <w:bottom w:val="none" w:sz="0" w:space="0" w:color="auto"/>
            <w:right w:val="none" w:sz="0" w:space="0" w:color="auto"/>
          </w:divBdr>
          <w:divsChild>
            <w:div w:id="966274883">
              <w:marLeft w:val="0"/>
              <w:marRight w:val="0"/>
              <w:marTop w:val="0"/>
              <w:marBottom w:val="0"/>
              <w:divBdr>
                <w:top w:val="none" w:sz="0" w:space="0" w:color="auto"/>
                <w:left w:val="none" w:sz="0" w:space="0" w:color="auto"/>
                <w:bottom w:val="none" w:sz="0" w:space="0" w:color="auto"/>
                <w:right w:val="none" w:sz="0" w:space="0" w:color="auto"/>
              </w:divBdr>
            </w:div>
          </w:divsChild>
        </w:div>
        <w:div w:id="1066145582">
          <w:marLeft w:val="0"/>
          <w:marRight w:val="0"/>
          <w:marTop w:val="0"/>
          <w:marBottom w:val="0"/>
          <w:divBdr>
            <w:top w:val="none" w:sz="0" w:space="0" w:color="auto"/>
            <w:left w:val="none" w:sz="0" w:space="0" w:color="auto"/>
            <w:bottom w:val="none" w:sz="0" w:space="0" w:color="auto"/>
            <w:right w:val="none" w:sz="0" w:space="0" w:color="auto"/>
          </w:divBdr>
          <w:divsChild>
            <w:div w:id="269557640">
              <w:marLeft w:val="0"/>
              <w:marRight w:val="0"/>
              <w:marTop w:val="0"/>
              <w:marBottom w:val="0"/>
              <w:divBdr>
                <w:top w:val="none" w:sz="0" w:space="0" w:color="auto"/>
                <w:left w:val="none" w:sz="0" w:space="0" w:color="auto"/>
                <w:bottom w:val="none" w:sz="0" w:space="0" w:color="auto"/>
                <w:right w:val="none" w:sz="0" w:space="0" w:color="auto"/>
              </w:divBdr>
            </w:div>
          </w:divsChild>
        </w:div>
        <w:div w:id="1110584383">
          <w:marLeft w:val="0"/>
          <w:marRight w:val="0"/>
          <w:marTop w:val="0"/>
          <w:marBottom w:val="0"/>
          <w:divBdr>
            <w:top w:val="none" w:sz="0" w:space="0" w:color="auto"/>
            <w:left w:val="none" w:sz="0" w:space="0" w:color="auto"/>
            <w:bottom w:val="none" w:sz="0" w:space="0" w:color="auto"/>
            <w:right w:val="none" w:sz="0" w:space="0" w:color="auto"/>
          </w:divBdr>
          <w:divsChild>
            <w:div w:id="1755467460">
              <w:marLeft w:val="0"/>
              <w:marRight w:val="0"/>
              <w:marTop w:val="0"/>
              <w:marBottom w:val="0"/>
              <w:divBdr>
                <w:top w:val="none" w:sz="0" w:space="0" w:color="auto"/>
                <w:left w:val="none" w:sz="0" w:space="0" w:color="auto"/>
                <w:bottom w:val="none" w:sz="0" w:space="0" w:color="auto"/>
                <w:right w:val="none" w:sz="0" w:space="0" w:color="auto"/>
              </w:divBdr>
            </w:div>
          </w:divsChild>
        </w:div>
        <w:div w:id="1274941659">
          <w:marLeft w:val="0"/>
          <w:marRight w:val="0"/>
          <w:marTop w:val="0"/>
          <w:marBottom w:val="0"/>
          <w:divBdr>
            <w:top w:val="none" w:sz="0" w:space="0" w:color="auto"/>
            <w:left w:val="none" w:sz="0" w:space="0" w:color="auto"/>
            <w:bottom w:val="none" w:sz="0" w:space="0" w:color="auto"/>
            <w:right w:val="none" w:sz="0" w:space="0" w:color="auto"/>
          </w:divBdr>
          <w:divsChild>
            <w:div w:id="427965710">
              <w:marLeft w:val="0"/>
              <w:marRight w:val="0"/>
              <w:marTop w:val="0"/>
              <w:marBottom w:val="0"/>
              <w:divBdr>
                <w:top w:val="none" w:sz="0" w:space="0" w:color="auto"/>
                <w:left w:val="none" w:sz="0" w:space="0" w:color="auto"/>
                <w:bottom w:val="none" w:sz="0" w:space="0" w:color="auto"/>
                <w:right w:val="none" w:sz="0" w:space="0" w:color="auto"/>
              </w:divBdr>
            </w:div>
          </w:divsChild>
        </w:div>
        <w:div w:id="1307205269">
          <w:marLeft w:val="0"/>
          <w:marRight w:val="0"/>
          <w:marTop w:val="0"/>
          <w:marBottom w:val="0"/>
          <w:divBdr>
            <w:top w:val="none" w:sz="0" w:space="0" w:color="auto"/>
            <w:left w:val="none" w:sz="0" w:space="0" w:color="auto"/>
            <w:bottom w:val="none" w:sz="0" w:space="0" w:color="auto"/>
            <w:right w:val="none" w:sz="0" w:space="0" w:color="auto"/>
          </w:divBdr>
          <w:divsChild>
            <w:div w:id="1808204208">
              <w:marLeft w:val="0"/>
              <w:marRight w:val="0"/>
              <w:marTop w:val="0"/>
              <w:marBottom w:val="0"/>
              <w:divBdr>
                <w:top w:val="none" w:sz="0" w:space="0" w:color="auto"/>
                <w:left w:val="none" w:sz="0" w:space="0" w:color="auto"/>
                <w:bottom w:val="none" w:sz="0" w:space="0" w:color="auto"/>
                <w:right w:val="none" w:sz="0" w:space="0" w:color="auto"/>
              </w:divBdr>
            </w:div>
          </w:divsChild>
        </w:div>
        <w:div w:id="1319772097">
          <w:marLeft w:val="0"/>
          <w:marRight w:val="0"/>
          <w:marTop w:val="0"/>
          <w:marBottom w:val="0"/>
          <w:divBdr>
            <w:top w:val="none" w:sz="0" w:space="0" w:color="auto"/>
            <w:left w:val="none" w:sz="0" w:space="0" w:color="auto"/>
            <w:bottom w:val="none" w:sz="0" w:space="0" w:color="auto"/>
            <w:right w:val="none" w:sz="0" w:space="0" w:color="auto"/>
          </w:divBdr>
          <w:divsChild>
            <w:div w:id="700937586">
              <w:marLeft w:val="0"/>
              <w:marRight w:val="0"/>
              <w:marTop w:val="0"/>
              <w:marBottom w:val="0"/>
              <w:divBdr>
                <w:top w:val="none" w:sz="0" w:space="0" w:color="auto"/>
                <w:left w:val="none" w:sz="0" w:space="0" w:color="auto"/>
                <w:bottom w:val="none" w:sz="0" w:space="0" w:color="auto"/>
                <w:right w:val="none" w:sz="0" w:space="0" w:color="auto"/>
              </w:divBdr>
            </w:div>
          </w:divsChild>
        </w:div>
        <w:div w:id="1330253221">
          <w:marLeft w:val="0"/>
          <w:marRight w:val="0"/>
          <w:marTop w:val="0"/>
          <w:marBottom w:val="0"/>
          <w:divBdr>
            <w:top w:val="none" w:sz="0" w:space="0" w:color="auto"/>
            <w:left w:val="none" w:sz="0" w:space="0" w:color="auto"/>
            <w:bottom w:val="none" w:sz="0" w:space="0" w:color="auto"/>
            <w:right w:val="none" w:sz="0" w:space="0" w:color="auto"/>
          </w:divBdr>
          <w:divsChild>
            <w:div w:id="1092165880">
              <w:marLeft w:val="0"/>
              <w:marRight w:val="0"/>
              <w:marTop w:val="0"/>
              <w:marBottom w:val="0"/>
              <w:divBdr>
                <w:top w:val="none" w:sz="0" w:space="0" w:color="auto"/>
                <w:left w:val="none" w:sz="0" w:space="0" w:color="auto"/>
                <w:bottom w:val="none" w:sz="0" w:space="0" w:color="auto"/>
                <w:right w:val="none" w:sz="0" w:space="0" w:color="auto"/>
              </w:divBdr>
            </w:div>
          </w:divsChild>
        </w:div>
        <w:div w:id="1433621325">
          <w:marLeft w:val="0"/>
          <w:marRight w:val="0"/>
          <w:marTop w:val="0"/>
          <w:marBottom w:val="0"/>
          <w:divBdr>
            <w:top w:val="none" w:sz="0" w:space="0" w:color="auto"/>
            <w:left w:val="none" w:sz="0" w:space="0" w:color="auto"/>
            <w:bottom w:val="none" w:sz="0" w:space="0" w:color="auto"/>
            <w:right w:val="none" w:sz="0" w:space="0" w:color="auto"/>
          </w:divBdr>
          <w:divsChild>
            <w:div w:id="1776821306">
              <w:marLeft w:val="0"/>
              <w:marRight w:val="0"/>
              <w:marTop w:val="0"/>
              <w:marBottom w:val="0"/>
              <w:divBdr>
                <w:top w:val="none" w:sz="0" w:space="0" w:color="auto"/>
                <w:left w:val="none" w:sz="0" w:space="0" w:color="auto"/>
                <w:bottom w:val="none" w:sz="0" w:space="0" w:color="auto"/>
                <w:right w:val="none" w:sz="0" w:space="0" w:color="auto"/>
              </w:divBdr>
            </w:div>
          </w:divsChild>
        </w:div>
        <w:div w:id="1443307382">
          <w:marLeft w:val="0"/>
          <w:marRight w:val="0"/>
          <w:marTop w:val="0"/>
          <w:marBottom w:val="0"/>
          <w:divBdr>
            <w:top w:val="none" w:sz="0" w:space="0" w:color="auto"/>
            <w:left w:val="none" w:sz="0" w:space="0" w:color="auto"/>
            <w:bottom w:val="none" w:sz="0" w:space="0" w:color="auto"/>
            <w:right w:val="none" w:sz="0" w:space="0" w:color="auto"/>
          </w:divBdr>
          <w:divsChild>
            <w:div w:id="351567276">
              <w:marLeft w:val="0"/>
              <w:marRight w:val="0"/>
              <w:marTop w:val="0"/>
              <w:marBottom w:val="0"/>
              <w:divBdr>
                <w:top w:val="none" w:sz="0" w:space="0" w:color="auto"/>
                <w:left w:val="none" w:sz="0" w:space="0" w:color="auto"/>
                <w:bottom w:val="none" w:sz="0" w:space="0" w:color="auto"/>
                <w:right w:val="none" w:sz="0" w:space="0" w:color="auto"/>
              </w:divBdr>
            </w:div>
          </w:divsChild>
        </w:div>
        <w:div w:id="1491679085">
          <w:marLeft w:val="0"/>
          <w:marRight w:val="0"/>
          <w:marTop w:val="0"/>
          <w:marBottom w:val="0"/>
          <w:divBdr>
            <w:top w:val="none" w:sz="0" w:space="0" w:color="auto"/>
            <w:left w:val="none" w:sz="0" w:space="0" w:color="auto"/>
            <w:bottom w:val="none" w:sz="0" w:space="0" w:color="auto"/>
            <w:right w:val="none" w:sz="0" w:space="0" w:color="auto"/>
          </w:divBdr>
          <w:divsChild>
            <w:div w:id="1597131440">
              <w:marLeft w:val="0"/>
              <w:marRight w:val="0"/>
              <w:marTop w:val="0"/>
              <w:marBottom w:val="0"/>
              <w:divBdr>
                <w:top w:val="none" w:sz="0" w:space="0" w:color="auto"/>
                <w:left w:val="none" w:sz="0" w:space="0" w:color="auto"/>
                <w:bottom w:val="none" w:sz="0" w:space="0" w:color="auto"/>
                <w:right w:val="none" w:sz="0" w:space="0" w:color="auto"/>
              </w:divBdr>
            </w:div>
          </w:divsChild>
        </w:div>
        <w:div w:id="1497304918">
          <w:marLeft w:val="0"/>
          <w:marRight w:val="0"/>
          <w:marTop w:val="0"/>
          <w:marBottom w:val="0"/>
          <w:divBdr>
            <w:top w:val="none" w:sz="0" w:space="0" w:color="auto"/>
            <w:left w:val="none" w:sz="0" w:space="0" w:color="auto"/>
            <w:bottom w:val="none" w:sz="0" w:space="0" w:color="auto"/>
            <w:right w:val="none" w:sz="0" w:space="0" w:color="auto"/>
          </w:divBdr>
          <w:divsChild>
            <w:div w:id="1714695847">
              <w:marLeft w:val="0"/>
              <w:marRight w:val="0"/>
              <w:marTop w:val="0"/>
              <w:marBottom w:val="0"/>
              <w:divBdr>
                <w:top w:val="none" w:sz="0" w:space="0" w:color="auto"/>
                <w:left w:val="none" w:sz="0" w:space="0" w:color="auto"/>
                <w:bottom w:val="none" w:sz="0" w:space="0" w:color="auto"/>
                <w:right w:val="none" w:sz="0" w:space="0" w:color="auto"/>
              </w:divBdr>
            </w:div>
            <w:div w:id="2046364051">
              <w:marLeft w:val="0"/>
              <w:marRight w:val="0"/>
              <w:marTop w:val="0"/>
              <w:marBottom w:val="0"/>
              <w:divBdr>
                <w:top w:val="none" w:sz="0" w:space="0" w:color="auto"/>
                <w:left w:val="none" w:sz="0" w:space="0" w:color="auto"/>
                <w:bottom w:val="none" w:sz="0" w:space="0" w:color="auto"/>
                <w:right w:val="none" w:sz="0" w:space="0" w:color="auto"/>
              </w:divBdr>
            </w:div>
          </w:divsChild>
        </w:div>
        <w:div w:id="1550141991">
          <w:marLeft w:val="0"/>
          <w:marRight w:val="0"/>
          <w:marTop w:val="0"/>
          <w:marBottom w:val="0"/>
          <w:divBdr>
            <w:top w:val="none" w:sz="0" w:space="0" w:color="auto"/>
            <w:left w:val="none" w:sz="0" w:space="0" w:color="auto"/>
            <w:bottom w:val="none" w:sz="0" w:space="0" w:color="auto"/>
            <w:right w:val="none" w:sz="0" w:space="0" w:color="auto"/>
          </w:divBdr>
          <w:divsChild>
            <w:div w:id="1637297014">
              <w:marLeft w:val="0"/>
              <w:marRight w:val="0"/>
              <w:marTop w:val="0"/>
              <w:marBottom w:val="0"/>
              <w:divBdr>
                <w:top w:val="none" w:sz="0" w:space="0" w:color="auto"/>
                <w:left w:val="none" w:sz="0" w:space="0" w:color="auto"/>
                <w:bottom w:val="none" w:sz="0" w:space="0" w:color="auto"/>
                <w:right w:val="none" w:sz="0" w:space="0" w:color="auto"/>
              </w:divBdr>
            </w:div>
          </w:divsChild>
        </w:div>
        <w:div w:id="1574658295">
          <w:marLeft w:val="0"/>
          <w:marRight w:val="0"/>
          <w:marTop w:val="0"/>
          <w:marBottom w:val="0"/>
          <w:divBdr>
            <w:top w:val="none" w:sz="0" w:space="0" w:color="auto"/>
            <w:left w:val="none" w:sz="0" w:space="0" w:color="auto"/>
            <w:bottom w:val="none" w:sz="0" w:space="0" w:color="auto"/>
            <w:right w:val="none" w:sz="0" w:space="0" w:color="auto"/>
          </w:divBdr>
          <w:divsChild>
            <w:div w:id="178665395">
              <w:marLeft w:val="0"/>
              <w:marRight w:val="0"/>
              <w:marTop w:val="0"/>
              <w:marBottom w:val="0"/>
              <w:divBdr>
                <w:top w:val="none" w:sz="0" w:space="0" w:color="auto"/>
                <w:left w:val="none" w:sz="0" w:space="0" w:color="auto"/>
                <w:bottom w:val="none" w:sz="0" w:space="0" w:color="auto"/>
                <w:right w:val="none" w:sz="0" w:space="0" w:color="auto"/>
              </w:divBdr>
            </w:div>
          </w:divsChild>
        </w:div>
        <w:div w:id="1581862865">
          <w:marLeft w:val="0"/>
          <w:marRight w:val="0"/>
          <w:marTop w:val="0"/>
          <w:marBottom w:val="0"/>
          <w:divBdr>
            <w:top w:val="none" w:sz="0" w:space="0" w:color="auto"/>
            <w:left w:val="none" w:sz="0" w:space="0" w:color="auto"/>
            <w:bottom w:val="none" w:sz="0" w:space="0" w:color="auto"/>
            <w:right w:val="none" w:sz="0" w:space="0" w:color="auto"/>
          </w:divBdr>
          <w:divsChild>
            <w:div w:id="1800224578">
              <w:marLeft w:val="0"/>
              <w:marRight w:val="0"/>
              <w:marTop w:val="0"/>
              <w:marBottom w:val="0"/>
              <w:divBdr>
                <w:top w:val="none" w:sz="0" w:space="0" w:color="auto"/>
                <w:left w:val="none" w:sz="0" w:space="0" w:color="auto"/>
                <w:bottom w:val="none" w:sz="0" w:space="0" w:color="auto"/>
                <w:right w:val="none" w:sz="0" w:space="0" w:color="auto"/>
              </w:divBdr>
            </w:div>
          </w:divsChild>
        </w:div>
        <w:div w:id="1613974595">
          <w:marLeft w:val="0"/>
          <w:marRight w:val="0"/>
          <w:marTop w:val="0"/>
          <w:marBottom w:val="0"/>
          <w:divBdr>
            <w:top w:val="none" w:sz="0" w:space="0" w:color="auto"/>
            <w:left w:val="none" w:sz="0" w:space="0" w:color="auto"/>
            <w:bottom w:val="none" w:sz="0" w:space="0" w:color="auto"/>
            <w:right w:val="none" w:sz="0" w:space="0" w:color="auto"/>
          </w:divBdr>
          <w:divsChild>
            <w:div w:id="1200775397">
              <w:marLeft w:val="0"/>
              <w:marRight w:val="0"/>
              <w:marTop w:val="0"/>
              <w:marBottom w:val="0"/>
              <w:divBdr>
                <w:top w:val="none" w:sz="0" w:space="0" w:color="auto"/>
                <w:left w:val="none" w:sz="0" w:space="0" w:color="auto"/>
                <w:bottom w:val="none" w:sz="0" w:space="0" w:color="auto"/>
                <w:right w:val="none" w:sz="0" w:space="0" w:color="auto"/>
              </w:divBdr>
            </w:div>
          </w:divsChild>
        </w:div>
        <w:div w:id="1664354381">
          <w:marLeft w:val="0"/>
          <w:marRight w:val="0"/>
          <w:marTop w:val="0"/>
          <w:marBottom w:val="0"/>
          <w:divBdr>
            <w:top w:val="none" w:sz="0" w:space="0" w:color="auto"/>
            <w:left w:val="none" w:sz="0" w:space="0" w:color="auto"/>
            <w:bottom w:val="none" w:sz="0" w:space="0" w:color="auto"/>
            <w:right w:val="none" w:sz="0" w:space="0" w:color="auto"/>
          </w:divBdr>
          <w:divsChild>
            <w:div w:id="1465928415">
              <w:marLeft w:val="0"/>
              <w:marRight w:val="0"/>
              <w:marTop w:val="0"/>
              <w:marBottom w:val="0"/>
              <w:divBdr>
                <w:top w:val="none" w:sz="0" w:space="0" w:color="auto"/>
                <w:left w:val="none" w:sz="0" w:space="0" w:color="auto"/>
                <w:bottom w:val="none" w:sz="0" w:space="0" w:color="auto"/>
                <w:right w:val="none" w:sz="0" w:space="0" w:color="auto"/>
              </w:divBdr>
            </w:div>
          </w:divsChild>
        </w:div>
        <w:div w:id="1721130608">
          <w:marLeft w:val="0"/>
          <w:marRight w:val="0"/>
          <w:marTop w:val="0"/>
          <w:marBottom w:val="0"/>
          <w:divBdr>
            <w:top w:val="none" w:sz="0" w:space="0" w:color="auto"/>
            <w:left w:val="none" w:sz="0" w:space="0" w:color="auto"/>
            <w:bottom w:val="none" w:sz="0" w:space="0" w:color="auto"/>
            <w:right w:val="none" w:sz="0" w:space="0" w:color="auto"/>
          </w:divBdr>
          <w:divsChild>
            <w:div w:id="775489422">
              <w:marLeft w:val="0"/>
              <w:marRight w:val="0"/>
              <w:marTop w:val="0"/>
              <w:marBottom w:val="0"/>
              <w:divBdr>
                <w:top w:val="none" w:sz="0" w:space="0" w:color="auto"/>
                <w:left w:val="none" w:sz="0" w:space="0" w:color="auto"/>
                <w:bottom w:val="none" w:sz="0" w:space="0" w:color="auto"/>
                <w:right w:val="none" w:sz="0" w:space="0" w:color="auto"/>
              </w:divBdr>
            </w:div>
          </w:divsChild>
        </w:div>
        <w:div w:id="1744642952">
          <w:marLeft w:val="0"/>
          <w:marRight w:val="0"/>
          <w:marTop w:val="0"/>
          <w:marBottom w:val="0"/>
          <w:divBdr>
            <w:top w:val="none" w:sz="0" w:space="0" w:color="auto"/>
            <w:left w:val="none" w:sz="0" w:space="0" w:color="auto"/>
            <w:bottom w:val="none" w:sz="0" w:space="0" w:color="auto"/>
            <w:right w:val="none" w:sz="0" w:space="0" w:color="auto"/>
          </w:divBdr>
          <w:divsChild>
            <w:div w:id="1154221669">
              <w:marLeft w:val="0"/>
              <w:marRight w:val="0"/>
              <w:marTop w:val="0"/>
              <w:marBottom w:val="0"/>
              <w:divBdr>
                <w:top w:val="none" w:sz="0" w:space="0" w:color="auto"/>
                <w:left w:val="none" w:sz="0" w:space="0" w:color="auto"/>
                <w:bottom w:val="none" w:sz="0" w:space="0" w:color="auto"/>
                <w:right w:val="none" w:sz="0" w:space="0" w:color="auto"/>
              </w:divBdr>
            </w:div>
          </w:divsChild>
        </w:div>
        <w:div w:id="1781485674">
          <w:marLeft w:val="0"/>
          <w:marRight w:val="0"/>
          <w:marTop w:val="0"/>
          <w:marBottom w:val="0"/>
          <w:divBdr>
            <w:top w:val="none" w:sz="0" w:space="0" w:color="auto"/>
            <w:left w:val="none" w:sz="0" w:space="0" w:color="auto"/>
            <w:bottom w:val="none" w:sz="0" w:space="0" w:color="auto"/>
            <w:right w:val="none" w:sz="0" w:space="0" w:color="auto"/>
          </w:divBdr>
          <w:divsChild>
            <w:div w:id="868493017">
              <w:marLeft w:val="0"/>
              <w:marRight w:val="0"/>
              <w:marTop w:val="0"/>
              <w:marBottom w:val="0"/>
              <w:divBdr>
                <w:top w:val="none" w:sz="0" w:space="0" w:color="auto"/>
                <w:left w:val="none" w:sz="0" w:space="0" w:color="auto"/>
                <w:bottom w:val="none" w:sz="0" w:space="0" w:color="auto"/>
                <w:right w:val="none" w:sz="0" w:space="0" w:color="auto"/>
              </w:divBdr>
            </w:div>
          </w:divsChild>
        </w:div>
        <w:div w:id="1887989051">
          <w:marLeft w:val="0"/>
          <w:marRight w:val="0"/>
          <w:marTop w:val="0"/>
          <w:marBottom w:val="0"/>
          <w:divBdr>
            <w:top w:val="none" w:sz="0" w:space="0" w:color="auto"/>
            <w:left w:val="none" w:sz="0" w:space="0" w:color="auto"/>
            <w:bottom w:val="none" w:sz="0" w:space="0" w:color="auto"/>
            <w:right w:val="none" w:sz="0" w:space="0" w:color="auto"/>
          </w:divBdr>
          <w:divsChild>
            <w:div w:id="48454402">
              <w:marLeft w:val="0"/>
              <w:marRight w:val="0"/>
              <w:marTop w:val="0"/>
              <w:marBottom w:val="0"/>
              <w:divBdr>
                <w:top w:val="none" w:sz="0" w:space="0" w:color="auto"/>
                <w:left w:val="none" w:sz="0" w:space="0" w:color="auto"/>
                <w:bottom w:val="none" w:sz="0" w:space="0" w:color="auto"/>
                <w:right w:val="none" w:sz="0" w:space="0" w:color="auto"/>
              </w:divBdr>
            </w:div>
          </w:divsChild>
        </w:div>
        <w:div w:id="1960795589">
          <w:marLeft w:val="0"/>
          <w:marRight w:val="0"/>
          <w:marTop w:val="0"/>
          <w:marBottom w:val="0"/>
          <w:divBdr>
            <w:top w:val="none" w:sz="0" w:space="0" w:color="auto"/>
            <w:left w:val="none" w:sz="0" w:space="0" w:color="auto"/>
            <w:bottom w:val="none" w:sz="0" w:space="0" w:color="auto"/>
            <w:right w:val="none" w:sz="0" w:space="0" w:color="auto"/>
          </w:divBdr>
          <w:divsChild>
            <w:div w:id="1031491269">
              <w:marLeft w:val="0"/>
              <w:marRight w:val="0"/>
              <w:marTop w:val="0"/>
              <w:marBottom w:val="0"/>
              <w:divBdr>
                <w:top w:val="none" w:sz="0" w:space="0" w:color="auto"/>
                <w:left w:val="none" w:sz="0" w:space="0" w:color="auto"/>
                <w:bottom w:val="none" w:sz="0" w:space="0" w:color="auto"/>
                <w:right w:val="none" w:sz="0" w:space="0" w:color="auto"/>
              </w:divBdr>
            </w:div>
          </w:divsChild>
        </w:div>
        <w:div w:id="1997802673">
          <w:marLeft w:val="0"/>
          <w:marRight w:val="0"/>
          <w:marTop w:val="0"/>
          <w:marBottom w:val="0"/>
          <w:divBdr>
            <w:top w:val="none" w:sz="0" w:space="0" w:color="auto"/>
            <w:left w:val="none" w:sz="0" w:space="0" w:color="auto"/>
            <w:bottom w:val="none" w:sz="0" w:space="0" w:color="auto"/>
            <w:right w:val="none" w:sz="0" w:space="0" w:color="auto"/>
          </w:divBdr>
          <w:divsChild>
            <w:div w:id="57824869">
              <w:marLeft w:val="0"/>
              <w:marRight w:val="0"/>
              <w:marTop w:val="0"/>
              <w:marBottom w:val="0"/>
              <w:divBdr>
                <w:top w:val="none" w:sz="0" w:space="0" w:color="auto"/>
                <w:left w:val="none" w:sz="0" w:space="0" w:color="auto"/>
                <w:bottom w:val="none" w:sz="0" w:space="0" w:color="auto"/>
                <w:right w:val="none" w:sz="0" w:space="0" w:color="auto"/>
              </w:divBdr>
            </w:div>
          </w:divsChild>
        </w:div>
        <w:div w:id="2039235519">
          <w:marLeft w:val="0"/>
          <w:marRight w:val="0"/>
          <w:marTop w:val="0"/>
          <w:marBottom w:val="0"/>
          <w:divBdr>
            <w:top w:val="none" w:sz="0" w:space="0" w:color="auto"/>
            <w:left w:val="none" w:sz="0" w:space="0" w:color="auto"/>
            <w:bottom w:val="none" w:sz="0" w:space="0" w:color="auto"/>
            <w:right w:val="none" w:sz="0" w:space="0" w:color="auto"/>
          </w:divBdr>
          <w:divsChild>
            <w:div w:id="3904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1402969">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1251078">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38700487">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68392240">
      <w:bodyDiv w:val="1"/>
      <w:marLeft w:val="0"/>
      <w:marRight w:val="0"/>
      <w:marTop w:val="0"/>
      <w:marBottom w:val="0"/>
      <w:divBdr>
        <w:top w:val="none" w:sz="0" w:space="0" w:color="auto"/>
        <w:left w:val="none" w:sz="0" w:space="0" w:color="auto"/>
        <w:bottom w:val="none" w:sz="0" w:space="0" w:color="auto"/>
        <w:right w:val="none" w:sz="0" w:space="0" w:color="auto"/>
      </w:divBdr>
      <w:divsChild>
        <w:div w:id="496924279">
          <w:marLeft w:val="0"/>
          <w:marRight w:val="0"/>
          <w:marTop w:val="0"/>
          <w:marBottom w:val="0"/>
          <w:divBdr>
            <w:top w:val="none" w:sz="0" w:space="0" w:color="auto"/>
            <w:left w:val="none" w:sz="0" w:space="0" w:color="auto"/>
            <w:bottom w:val="none" w:sz="0" w:space="0" w:color="auto"/>
            <w:right w:val="none" w:sz="0" w:space="0" w:color="auto"/>
          </w:divBdr>
        </w:div>
        <w:div w:id="1170633563">
          <w:marLeft w:val="0"/>
          <w:marRight w:val="0"/>
          <w:marTop w:val="0"/>
          <w:marBottom w:val="0"/>
          <w:divBdr>
            <w:top w:val="none" w:sz="0" w:space="0" w:color="auto"/>
            <w:left w:val="none" w:sz="0" w:space="0" w:color="auto"/>
            <w:bottom w:val="none" w:sz="0" w:space="0" w:color="auto"/>
            <w:right w:val="none" w:sz="0" w:space="0" w:color="auto"/>
          </w:divBdr>
        </w:div>
        <w:div w:id="1333142490">
          <w:marLeft w:val="0"/>
          <w:marRight w:val="0"/>
          <w:marTop w:val="0"/>
          <w:marBottom w:val="0"/>
          <w:divBdr>
            <w:top w:val="none" w:sz="0" w:space="0" w:color="auto"/>
            <w:left w:val="none" w:sz="0" w:space="0" w:color="auto"/>
            <w:bottom w:val="none" w:sz="0" w:space="0" w:color="auto"/>
            <w:right w:val="none" w:sz="0" w:space="0" w:color="auto"/>
          </w:divBdr>
        </w:div>
        <w:div w:id="1720320499">
          <w:marLeft w:val="0"/>
          <w:marRight w:val="0"/>
          <w:marTop w:val="0"/>
          <w:marBottom w:val="0"/>
          <w:divBdr>
            <w:top w:val="none" w:sz="0" w:space="0" w:color="auto"/>
            <w:left w:val="none" w:sz="0" w:space="0" w:color="auto"/>
            <w:bottom w:val="none" w:sz="0" w:space="0" w:color="auto"/>
            <w:right w:val="none" w:sz="0" w:space="0" w:color="auto"/>
          </w:divBdr>
        </w:div>
        <w:div w:id="183410668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D820076-C800-4BD9-9176-B17547AB9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2</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Huawei,HiSilicon</cp:lastModifiedBy>
  <cp:revision>2</cp:revision>
  <cp:lastPrinted>2017-10-25T05:18:00Z</cp:lastPrinted>
  <dcterms:created xsi:type="dcterms:W3CDTF">2023-02-17T00:07:00Z</dcterms:created>
  <dcterms:modified xsi:type="dcterms:W3CDTF">2023-02-17T00:07:00Z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